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F70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t>28549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t>GRAD OROSLAVJE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F7062" w:rsidRDefault="00000000">
            <w:pPr>
              <w:spacing w:after="0" w:line="240" w:lineRule="auto"/>
            </w:pPr>
            <w:r>
              <w:t>23</w:t>
            </w:r>
          </w:p>
        </w:tc>
      </w:tr>
    </w:tbl>
    <w:p w:rsidR="002F7062" w:rsidRDefault="00000000">
      <w:r>
        <w:br/>
      </w:r>
    </w:p>
    <w:p w:rsidR="002F706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F706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F706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4.877.382,76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6.772.028,76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2.805.688,95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3.621.841,50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2.071.693,81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3.150.187,26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152,1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1.340.256,25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5.292.705,08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394,9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1.336.611,51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5.289.469,44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395,7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148,1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2.317.387,29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pPr>
        <w:jc w:val="both"/>
      </w:pPr>
      <w:r>
        <w:t xml:space="preserve">Višak prihoda poslovanja ostvaren je u 52,1 % većem iznosu u odnosu na izvještajno razdoblje prethodne godine. Zaprimljene su značajne pomoći za izgradnju područnog vrtića Mokrice, povećani su prihodi od poreza te su veći prihodi od komunalnog doprinosa i komunalne naknade uslijed provođenja svih potrebnih mjera naplate. Manjak prihoda od nefinancijske imovine ostvaren je u 295,7 % većem iznosu, obzirom da je 2025. godina bila godina najvećih kapitalnih ulaganja. Manjak primitaka od financijske imovine i zaduživanja </w:t>
      </w:r>
      <w:r>
        <w:lastRenderedPageBreak/>
        <w:t>ostvaren je u 48,1 % većem iznosu budući da je u izvještajnom razdoblju prikazana otplata glavnice dugoročnog kredita za čitavu godinu dok je u 2024. godini ona evidentirana tek od 7. mjeseca. Sve navedeno je rezultiralo manjkom prihoda i primitaka ukupnog iznosa 2.317.387,29 eura. </w:t>
      </w:r>
    </w:p>
    <w:p w:rsidR="002F7062" w:rsidRDefault="00000000">
      <w:pPr>
        <w:jc w:val="both"/>
      </w:pPr>
      <w:r>
        <w:t>Obzirom na preneseni višak prihoda iz 2024. godine iznosa 2.427.937,62 eura, rezultat, odnosno višak prihoda raspoloživ u sljedećem razdoblju iznosi 110.550,33 eura.</w:t>
      </w:r>
    </w:p>
    <w:p w:rsidR="002F7062" w:rsidRDefault="00000000">
      <w:pPr>
        <w:jc w:val="both"/>
      </w:pPr>
      <w:r>
        <w:t>Od 2025. godine u primjeni su nove odredbe i upute koje su rezultirale prilagodbom te novim načinom evidentiranja određenih događaja. Izmjene su izvršene po uputama iz Pravilnika o proračunskom računovodstvu i računskom planu, Pravilnika o korištenju sredstava Europske unije, Uputama za računovodstveno evidentiranje sredstava Europske unije, Uputom Ministarstva financija za oznake izvora financiranja sredstava Europske unije, Izmjenama i dopunama Pravilnika o proračunskim klasifikacijama te Pravilnikom o izmjenama i dopunama Pravilnika o financijskom izvještavanju u proračunskom računovodstvu.</w:t>
      </w:r>
    </w:p>
    <w:p w:rsidR="002F7062" w:rsidRDefault="00000000">
      <w:r>
        <w:br/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4.877.382,76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6.772.028,76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Prihodi poslovanja Grada i proračunskih korisnika u razdoblju od 1. siječnja do 31. prosinca 2025. godine ostvareni su u iznosu 6.772.028,76 eura, odnosno 38,8% više u odnosu na ostvarene prihode poslovanja u istom razdoblju 2024. Na povećanje prihoda poslovanja najvećim je dijelom utjecalo povećanje ostvarenih prihoda od poreza na dohodak, od dividendi i udjela u dobiti, prihoda od povrata poreza po godišnjoj prijavi, prihoda po opomenama za neplaćenu komunalnu naknadu te kapitalnih pomoći iz državnog proračuna temeljem prijenosa EU sredstava za izgradnju područnog vrtića.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3.878.663,58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4.612.300,68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Zabilježen porast prihoda od poreza uslijed rasta plaća, evidentirani su znatno veći prihodi od poreza na dohodak od dividendi i udjela u dobiti te prihoda od povrata poreza po godišnjoj prijavi.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325.132,37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1.390.816,81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427,8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Ostvarene su veće pomoći iz državnog proračuna za fiskalnu održivost dječjih vrtića te je ostvarena pomoć iz državnog proračuna temeljem prijenosa EU sredstava za izgradnju područnog vrtića Mokrice kao i preostala sredstva za izgradnju </w:t>
      </w:r>
      <w:proofErr w:type="spellStart"/>
      <w:r>
        <w:t>reciklažnog</w:t>
      </w:r>
      <w:proofErr w:type="spellEnd"/>
      <w:r>
        <w:t xml:space="preserve"> dvorišta. Također, Gradska knjižnica Oroslavje je u odnosu na prethodnu godinu ostvarila veće pomoći iz državnog proračuna za nabavu knjižne građe i nabavu polica.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56"/>
        <w:gridCol w:w="6966"/>
        <w:gridCol w:w="1666"/>
      </w:tblGrid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rPr>
                <w:b/>
              </w:rPr>
              <w:t>63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rPr>
                <w:b/>
              </w:rPr>
              <w:t>Pomoći od subjekata unutar općeg proračuna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rPr>
                <w:b/>
              </w:rPr>
              <w:t>1.390.816,81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rPr>
                <w:b/>
              </w:rPr>
              <w:t>633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rPr>
                <w:b/>
              </w:rPr>
              <w:t>Pomoći proračunu i izvanproračunskim korisnicima iz drugih proračuna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rPr>
                <w:b/>
              </w:rPr>
              <w:t>190.292,00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Tekuća pomoć iz DP za opremanje vrtića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7.670,93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Tekuća pomoć iz DP za fiskalnu održivost dječjih vrtića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114.468,00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Tekuća pomoć iz DP za funkcionalno spajanje JLS - poljoprivredni redar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4.680,93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proofErr w:type="spellStart"/>
            <w:r>
              <w:t>Teuća</w:t>
            </w:r>
            <w:proofErr w:type="spellEnd"/>
            <w:r>
              <w:t xml:space="preserve"> pomoć iz ŽP za nabavu radnih bilježnica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13.472,14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DP za uređenje dječjeg i sportskog igrališta Mokrice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50.000,00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pPr>
              <w:keepNext/>
            </w:pPr>
            <w:r>
              <w:rPr>
                <w:b/>
              </w:rPr>
              <w:t>634</w:t>
            </w:r>
          </w:p>
        </w:tc>
        <w:tc>
          <w:tcPr>
            <w:tcW w:w="3750" w:type="pct"/>
            <w:vAlign w:val="center"/>
          </w:tcPr>
          <w:p w:rsidR="002F7062" w:rsidRDefault="00000000">
            <w:pPr>
              <w:keepNext/>
            </w:pPr>
            <w:r>
              <w:rPr>
                <w:b/>
              </w:rPr>
              <w:t>Pomoći od izvanproračunskih korisnika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rPr>
                <w:b/>
              </w:rPr>
              <w:t>40.000,00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od ŽUC-KZŽ za Nogostup Krušljevo Selo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40.000,00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pPr>
              <w:keepNext/>
            </w:pPr>
            <w:r>
              <w:rPr>
                <w:b/>
              </w:rPr>
              <w:t>636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rPr>
                <w:b/>
              </w:rPr>
              <w:t>Pomoći proračunskim korisnicima iz proračuna koji im nije nadležan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rPr>
                <w:b/>
              </w:rPr>
              <w:t>19.308,80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Tekuća pomoć iz DP za Dječji vrtić Cvrkutić - predšk.i integr.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2.808,80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DP za Gradsku knjižnicu Oroslavje - nabava knjižne građe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5.800,00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DP za Gradsku knjižnicu Oroslavje - nabava polica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1.000,00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DP za Gradsku knjižnicu Oroslavje - otkup knjiga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8.000,00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ŽP za Gradsku knjižnicu Oroslavje - nabava knjižne građe i manif.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1.700,00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pPr>
              <w:keepNext/>
            </w:pPr>
            <w:r>
              <w:rPr>
                <w:b/>
              </w:rPr>
              <w:t>638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rPr>
                <w:b/>
              </w:rPr>
              <w:t>Pomoći temeljem prijenosa EU sredstava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rPr>
                <w:b/>
              </w:rPr>
              <w:t>1.141.216,01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Tekuća pomoć iz proračuna JLP(R)S temeljem prijenosa EU sredstava - PRŠI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464,43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lastRenderedPageBreak/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>Kapitalna pomoć iz DP temeljem prijenosa EU sredstava - Područni vrtić Mokrice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862.030,77</w:t>
            </w:r>
          </w:p>
        </w:tc>
      </w:tr>
      <w:tr w:rsidR="002F7062" w:rsidTr="001E3055">
        <w:trPr>
          <w:trHeight w:val="542"/>
        </w:trPr>
        <w:tc>
          <w:tcPr>
            <w:tcW w:w="353" w:type="pct"/>
            <w:vAlign w:val="center"/>
          </w:tcPr>
          <w:p w:rsidR="002F7062" w:rsidRDefault="00000000">
            <w:r>
              <w:t> </w:t>
            </w:r>
          </w:p>
        </w:tc>
        <w:tc>
          <w:tcPr>
            <w:tcW w:w="3750" w:type="pct"/>
            <w:vAlign w:val="center"/>
          </w:tcPr>
          <w:p w:rsidR="002F7062" w:rsidRDefault="00000000">
            <w:r>
              <w:t xml:space="preserve">Kapitalna pomoć iz DP temeljem prijenosa EU sredstava - </w:t>
            </w:r>
            <w:proofErr w:type="spellStart"/>
            <w:r>
              <w:t>Reciklažno</w:t>
            </w:r>
            <w:proofErr w:type="spellEnd"/>
            <w:r>
              <w:t xml:space="preserve"> dvorište</w:t>
            </w:r>
          </w:p>
        </w:tc>
        <w:tc>
          <w:tcPr>
            <w:tcW w:w="897" w:type="pct"/>
            <w:vAlign w:val="center"/>
          </w:tcPr>
          <w:p w:rsidR="002F7062" w:rsidRDefault="00000000">
            <w:pPr>
              <w:keepNext/>
              <w:jc w:val="right"/>
            </w:pPr>
            <w:r>
              <w:t>278.720,81</w:t>
            </w:r>
          </w:p>
        </w:tc>
      </w:tr>
    </w:tbl>
    <w:p w:rsidR="002F7062" w:rsidRDefault="00000000">
      <w:r>
        <w:t>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55.117,25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25.870,23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Prihod od kamata na oročena sredstva je manji za 53,1% zbog manjeg iznosa oročenih sredstava u 2025., obzirom da su sredstva alocirana u projekt izgradnje područnog vrtića.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75.278,52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102.045,68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Povećanje prihoda od nefinancijske imovine uslijed ugovorene veće koncesijske naknade za obavljanje dimnjačarskih poslova i ostvarenih većih prihoda od zakupa poljoprivrednog zemljišta.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529.293,13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636.283,94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Tokom 2025. godine provodile su se potrebne radnje za naplatu dospjelih nenaplaćenih potraživanja.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13.892,76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Ostvarene su veće tekuće donacije za Advent i Ljetnu pozornicu te za božićne pakete, no nije bilo kapitalnih donacija u izvještajnom razdoblju.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5349,1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Zabilježeni veći prihodi od kamata na ovrhe.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2.805.688,95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3.621.841,50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Rashodi poslovanja Grada i proračunskih korisnika u razdoblju od 1. siječnja do 31. prosinca 2025. godine ostvareni su u iznosu 3.621.841,50 eura, a na njihovo povećanje od 29,1%  utjecalo je povećanje rashoda za zaposlene uslijed rasta plaća i gdje je prema izmjenama Pravilnika prikazano 13 rashoda za plaće (prosinac 2024 te siječanj-prosinac 2025) kako za Grad tako i za proračunske korisnike, povećanje materijalnih rashoda zbog provođenja radionica za djecu predškolske dobi i djecu I-IV razreda osnovne škole te nabavu didaktičke, motoričke i senzomotoričke opreme i igrački za dječji vrtić, povećanje troškova održavanja cesta i drugih javnih površina, veći troškovi zimske službe, veće isplate naknada građanima i slično.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900.687,52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1.191.644,65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Evidentirani su veći rashodi za zaposlene uslijed rasta plaće dužnosnika i rasta osnovice za službenike i namještenike krajem 2024. Prema izmjenama pravilnika prikazano je 13 rashoda za plaće (prosinac 2024 te siječanj-prosinac 2025) kako za Grad tako i za proračunske korisnike.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823.444,72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1.006.190,35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Povećanje materijalnih rashoda zbog provođenja radionica za djecu predškolske dobi i djecu I-IV razreda osnovne škole te nabavu didaktičke, motoričke i senzomotoričke opreme i igrački za dječji vrtić, povećanje troškova održavanja cesta i drugih javnih površina, veći troškovi zimske službe, veće isplate naknada građanima i slično.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16.310,58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Smanjuju se kamate na dugoročni kredit za kapitalnu izgradnju.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7.861,85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Smanjenje subvencioniranja kamata za odobrene kredite malim i srednjim poduzetnicima sukladno obračunima županije.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12.543,70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189.778,15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1512,9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Povećanje uslijed promjene evidentiranja pomoći javnoj vatrogasnoj postrojbi te za upućivanje sredstava za potrebe provedbe lokalnih izbora.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171.857,46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87.999,87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51,2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Smanjenje uslijed promjene evidentiranja pomoći javnoj vatrogasnoj postrojbi.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479.836,10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546.170,57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Evidentirane su veće pomoći prema građanima uslijed povećanja korisnika i povećanih iznosa </w:t>
      </w:r>
      <w:proofErr w:type="spellStart"/>
      <w:r>
        <w:t>uskrsnica</w:t>
      </w:r>
      <w:proofErr w:type="spellEnd"/>
      <w:r>
        <w:t xml:space="preserve"> i božićnica za umirovljenike i osobe s invaliditetom. Također, povećani su iznosi naknada za novorođenčad.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389.072,57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575.885,48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Povećana donacija Vatrogasnoj zajednici, Sportskoj zajednici Grada Oroslavja, HCK-u te Turističkoj zajednici za redovno poslovanje i manifestacije.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44.828,36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25,4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Višak prihoda poslovanja - preneseni sastoji se od 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Grada iznosa 9.709,54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Gradske knjižnice iznosa 2.990,26 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Otvorenog učilišta iznosa 1.903,34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poslovanja Dječjeg vrtića iznosa 3.221,34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203.263,55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569.183,38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Značajno povećanje uslijed evidentiranja podnesenih ZNS-ova po projektu Izgradnja i opremanje područnog vrtića Mokrice.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1.340.256,25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5.292.705,08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394,9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Rashodi za nabavu nefinancijske imovine Grada i proračunskih korisnika u razdoblju od 1. siječnja do 31. prosinca 2025. godine ostvareni su u iznosu 5.292.705,08 eura, a na njihovo povećanje od 294,9% najvećim je dijelom utjecalo povećanje rashoda za nabavu proizvedene dugotrajne imovine zbog provođenja projekta izgradnje i opremanja područnog vrtića, završetka projekta izgradnje </w:t>
      </w:r>
      <w:proofErr w:type="spellStart"/>
      <w:r>
        <w:t>reciklažnog</w:t>
      </w:r>
      <w:proofErr w:type="spellEnd"/>
      <w:r>
        <w:t xml:space="preserve"> dvorišta, ulaganja u dječja igrališta te rashoda za kupnju knjiga (muzejskih izložaka).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1.082.721,97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5.092.539,76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470,3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Povećanje rashoda za nabavu proizvedene dugotrajne imovine ponajviše zbog provođenja projekta izgradnje i opremanja područnog vrtića, završetka projekta izgradnje </w:t>
      </w:r>
      <w:proofErr w:type="spellStart"/>
      <w:r>
        <w:t>reciklažnog</w:t>
      </w:r>
      <w:proofErr w:type="spellEnd"/>
      <w:r>
        <w:t xml:space="preserve"> dvorišta te ulaganja u dječja igrališta. Uključeni su i svi troškovi uvoza knjige putopisca </w:t>
      </w:r>
      <w:proofErr w:type="spellStart"/>
      <w:r>
        <w:t>J.F.Mikulca</w:t>
      </w:r>
      <w:proofErr w:type="spellEnd"/>
      <w:r>
        <w:t xml:space="preserve"> iz SAD-a.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19.189,87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22.377,01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Nabavljeno više knjiga u Gradskoj knjižnici, uslijed ostvarenih većih pomoći za nabavu knjižne građe.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257.534,28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200.165,32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77,7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Smanjeni rashodi za dodatna ulaganja na nefinancijskoj imovini obzirom da su sredstva alocirana u izgradnju područnog vrtića.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1.773.649,42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2.416.555,82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Višak prihoda od nefinancijske imovine 2024. godine koji se prema </w:t>
      </w:r>
      <w:r>
        <w:rPr>
          <w:i/>
        </w:rPr>
        <w:t>Odluci o raspodjeli rezultata</w:t>
      </w:r>
      <w:r>
        <w:t xml:space="preserve"> koristi za izgradnju i opremanje područnog vrtića Mokrice.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1.818.477,78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2.427.937,62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Višak prihoda - preneseni sastoji se od: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Grada iznosa 2.426.265,36 </w:t>
      </w:r>
    </w:p>
    <w:p w:rsidR="002F7062" w:rsidRDefault="00000000">
      <w:pPr>
        <w:pStyle w:val="Odlomakpopisa"/>
        <w:numPr>
          <w:ilvl w:val="1"/>
          <w:numId w:val="1"/>
        </w:numPr>
      </w:pPr>
      <w:r>
        <w:t>višak prihoda poslovanja 9.709,54</w:t>
      </w:r>
    </w:p>
    <w:p w:rsidR="002F7062" w:rsidRDefault="00000000">
      <w:pPr>
        <w:pStyle w:val="Odlomakpopisa"/>
        <w:numPr>
          <w:ilvl w:val="1"/>
          <w:numId w:val="1"/>
        </w:numPr>
      </w:pPr>
      <w:r>
        <w:t>višak prihoda od nefinancijske imovine 2.416.555,82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Gradske knjižnice iznosa 2.990,26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Otvorenog učilišta iznosa 1.903,34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Dječjeg vrtića iznosa 3.221,34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Izdaci za financijsku imovinu i otplate zajmova u razdoblju od 1. siječnja do 31. prosinca 2025. godine ostvareni su u iznosu 178.105,11 eura, a povećanje od 48,10% nastalo je uslijed otplate glavnice dugoročnog kredita za kapitalnu izgradnju. Otplata kredita je počela u 7. mjesecu 2024. godine, a samim time tih izdataka nije bilo kroz cijelo izvještajno razdoblje prethodne godine.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2.433.271,48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Višak prihoda i primitaka raspoloživ u sljedećem razdoblju uključujući: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Grada 164.550,86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Otvorenog učilišta 1.903,34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Dječjeg vrtića 50.948,80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Gradske knjižnice 4.955,07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914.907,10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2.555.623,59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279,3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Promjena u evidentiranju novčanih depozita. Sukladno uputi u Okružnici I-XII 2025. da se depoziti u obrascu BIL iskazuju u okviru podskupine 112 u oba stupca podataka, bilo je nužno izmijeniti stanje novčanih sredstva na kraju izvještajnog razdoblja 2024. godine kao i stanje novčanih sredstava na početku izvještajnog razdoblja 2025. godine. Evidentirano je uvećanje za 2.050.000,00 EUR koje je ranije bilo evidentirano u okviru podskupine 121 a odnosi se na oročena sredstva.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18.625.636,09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23.025.503,59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Tokom 2025. godine ulagalo se u uređenje interpretacijskog centra, sanacije krovišta Gradske knjižnice, DD Mokrice, javnu rasvjetu, cestovnu infrastrukturu, nogostupe, objekte oborinske odvodnje, dječje igralište Gornje Oroslavje. Provedeno je uknjiženje </w:t>
      </w:r>
      <w:proofErr w:type="spellStart"/>
      <w:r>
        <w:t>ošasne</w:t>
      </w:r>
      <w:proofErr w:type="spellEnd"/>
      <w:r>
        <w:t xml:space="preserve"> imovine po sudskom rješenju. Nabavljena su računala, namještaj za </w:t>
      </w:r>
      <w:proofErr w:type="spellStart"/>
      <w:r>
        <w:t>reciklažno</w:t>
      </w:r>
      <w:proofErr w:type="spellEnd"/>
      <w:r>
        <w:t xml:space="preserve"> dvorište i društveni dom Andraševec, uredski namještaj za prostorije JUO, stolice za Dom kulture, mjerni ormari za priključak, antene za link prema Kamenjaku, sprave za dječje igralište u Parku obitelji Prpić i za dječje igralište Gornje Oroslavje, ljuljačka za dječje igralište u St. Slatini, štandovi i ostala potrebna oprema za rad vlastitog pogona. Nabavljene su knjige J.F. </w:t>
      </w:r>
      <w:proofErr w:type="spellStart"/>
      <w:r>
        <w:t>Mikulca</w:t>
      </w:r>
      <w:proofErr w:type="spellEnd"/>
      <w:r>
        <w:t>. Provedeno je ulaganje u računalne programe. U Dječjem vrtiću su nabavljeni klima uređaji, a u Gradskoj knjižnici knjige i knjižna građa. </w:t>
      </w:r>
    </w:p>
    <w:p w:rsidR="002F7062" w:rsidRDefault="00000000">
      <w:r>
        <w:t xml:space="preserve">Kod imovine u pripremi najznačajnije je ulaganje u Područni vrtić Mokrice, Dječje i sportsko igralište Mokrice i Teniske </w:t>
      </w:r>
      <w:proofErr w:type="spellStart"/>
      <w:r>
        <w:t>svlačione</w:t>
      </w:r>
      <w:proofErr w:type="spellEnd"/>
      <w:r>
        <w:t>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Izdvojena novčana sredstva i depoziti u kreditnim i financijskim institucijama (šifre 1121 do 1123)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lastRenderedPageBreak/>
        <w:t>Promjena u evidentiranju novčanih depozita. Sukladno uputi u Okružnici I-XII 2025. da se depoziti u obrascu BIL iskazuju u okviru podskupine 112 u oba stupca podataka, evidentirano je uvećanje na dan 01.01. za 2.050.000,00 EUR koje je ranije bilo evidentirano u okviru podskupine 121 a odnosi se na oročena sredstva.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213.826,29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579.746,12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Značajno povećanje potraživanja uslijed nove upute o evidentiranju potraživanja za podnesene ZNS-ove po projektu Izgradnje i opremanja područnog vrtića Mokrice.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986.626,60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1.847.856,13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187,3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Povećanje obveza uslijed najvećih kapitalnih ulaganja. Računi za radove izvedene u prosincu zaprimljeni su u siječnju 2026. Najveći iznosi se odnose na izgradnju i dogradnju te opremanje područnog vrtića Mokrice, izgradnju teniskih </w:t>
      </w:r>
      <w:proofErr w:type="spellStart"/>
      <w:r>
        <w:t>svlačiona</w:t>
      </w:r>
      <w:proofErr w:type="spellEnd"/>
      <w:r>
        <w:t xml:space="preserve">, izgradnju dječjeg i sportskog igrališta u Mokricama, nogostup u </w:t>
      </w:r>
      <w:proofErr w:type="spellStart"/>
      <w:r>
        <w:t>Krušljevom</w:t>
      </w:r>
      <w:proofErr w:type="spellEnd"/>
      <w:r>
        <w:t xml:space="preserve"> Selu. Jedna od značajnijih stavki obveza je obveza za otplatu dugoročnog kredita. Također, na obvezama je i plaća za prosinac kako za grad tako i za proračunske korisnike.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Iz odjeljka 2395 Ostale nespomenute obveze iz prethodno važećeg Računskog plana 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prihoda u novu skupinu računa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 U okviru odjeljka 2395 ostao je samo jedan osnovni račun i to 23954 Ostale nespomenute obveze.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17.993,69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338.599,69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1881,8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Prema Uputi za računovodstveno evidentiranje sredstava Europske unije prikazujemo Obvezu za EU predujam dobiven iz državnog proračuna za Dogradnju i opremanje područnog vrtića Mokrice. </w:t>
      </w:r>
    </w:p>
    <w:p w:rsidR="002F7062" w:rsidRDefault="00000000">
      <w:r>
        <w:t xml:space="preserve">Iz odjeljka 2395 Ostale nespomenute obveze iz prethodno važećeg Računskog plana 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prihoda u novu skupinu računa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2F7062" w:rsidRDefault="00000000">
      <w:r>
        <w:t>Iz izvještaja su eliminirana konta 167/274 tako da je ovdje izuzeta Obveza proračuna za naplaćena sredstva proračunskog korisnika. </w:t>
      </w:r>
    </w:p>
    <w:p w:rsidR="002F7062" w:rsidRDefault="00000000">
      <w:r>
        <w:t>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2.433.271,48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Rezultat - višak 110.550,33 EUR uključuje: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Grada 164.550,86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Otvorenog učilišta 1.903,34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Dječjeg vrtića 50.948,80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Gradske knjižnice 4.955,07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2.180.375,66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2.317.168,73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Višak prihoda poslovanja sastoji se od: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Grada Oroslavja 2.098.287,37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Dječjeg vrtića 205.616,17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višak prihoda poslovanja Gradske knjižnice 11.361,85</w:t>
      </w:r>
    </w:p>
    <w:p w:rsidR="002F7062" w:rsidRDefault="00000000">
      <w:pPr>
        <w:pStyle w:val="Odlomakpopisa"/>
        <w:numPr>
          <w:ilvl w:val="0"/>
          <w:numId w:val="1"/>
        </w:numPr>
      </w:pPr>
      <w:r>
        <w:lastRenderedPageBreak/>
        <w:t>višak prihoda poslovanja Otvorenog učilište 1.903,34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2.028.513,29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Manjak prihoda od nefinancijske imovine sastoji se od: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od nefinancijske imovine Grada Oroslavja 1.755.631,40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od nefinancijske imovine Dječjeg vrtića 256.564,97</w:t>
      </w:r>
    </w:p>
    <w:p w:rsidR="002F7062" w:rsidRDefault="00000000">
      <w:pPr>
        <w:pStyle w:val="Odlomakpopisa"/>
        <w:numPr>
          <w:ilvl w:val="0"/>
          <w:numId w:val="1"/>
        </w:numPr>
      </w:pPr>
      <w:r>
        <w:t>manjak prihoda od nefinancijske imovine Gradske knjižnice 16.316,92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Manjak primitaka od financijske imovine Grada Oroslavja.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203.263,55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569.183,38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Značajno povećanje obračunatih prihoda uslijed nove upute o evidentiranju potraživanja za podnesene ZNS-ove po projektu Izgradnje i opremanja područnog vrtića Mokrice.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311.538,13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2.944.268,04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945,1</w:t>
            </w:r>
          </w:p>
        </w:tc>
      </w:tr>
    </w:tbl>
    <w:p w:rsidR="002F7062" w:rsidRDefault="002F7062">
      <w:pPr>
        <w:spacing w:after="0"/>
      </w:pPr>
    </w:p>
    <w:p w:rsidR="002F7062" w:rsidRDefault="00000000">
      <w:proofErr w:type="spellStart"/>
      <w:r>
        <w:t>Izvanbilančni</w:t>
      </w:r>
      <w:proofErr w:type="spellEnd"/>
      <w:r>
        <w:t xml:space="preserve"> zapisi aktive i pasive sastoje se od bankovnih garancija, dobivenih bjanko zadužnica za dobro izvršenje ugovora o nabavi, potraživanja po ugovorima o dodijeljenim bespovratnim sredstvima iz EU fondova te preuzetih obveza po ugovorima.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4.145.945,20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8.914.546,58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Sadrži rashode razvrstane prema njihovoj namjeni. Razvrstavaju se rashodi poslovanja razreda 3 i rashodi za nabavu nefinancijske imovine razreda 4, a izdaci za financijsku imovinu i otplatu zajmova (razred 5) ne uključuje se u ovaj obrazac. </w:t>
      </w:r>
    </w:p>
    <w:p w:rsidR="002F7062" w:rsidRDefault="00000000">
      <w:r>
        <w:t>Također, uključeni su i rashodi proračunskih korisnika. Rashodi Dječjeg vrtića Cvrkutić po funkcijskoj klasifikaciji - Predškolsko obrazovanje i rashodi Gradske knjižnice Oroslavje po funkcijskoj klasifikaciji - Služba kulture.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Stavka povećanja odnosi se na uknjiženje zemljišta po sudskom rješenju - </w:t>
      </w:r>
      <w:proofErr w:type="spellStart"/>
      <w:r>
        <w:t>ošasna</w:t>
      </w:r>
      <w:proofErr w:type="spellEnd"/>
      <w:r>
        <w:t xml:space="preserve"> imovina.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97.623,60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973.077,75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996,8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Stavka povećanja odnosi se na uknjiženje kuće po sudskom rješenju - </w:t>
      </w:r>
      <w:proofErr w:type="spellStart"/>
      <w:r>
        <w:t>ošasna</w:t>
      </w:r>
      <w:proofErr w:type="spellEnd"/>
      <w:r>
        <w:t xml:space="preserve"> imovina. </w:t>
      </w:r>
    </w:p>
    <w:p w:rsidR="002F7062" w:rsidRDefault="00000000">
      <w:r>
        <w:t>Stavka smanjenja odnosi se na ispravak vrijednosti nematerijalne proizvedene imovine.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Stavka smanjenja odnosi se na otpis potraživanja po komunalnoj naknadi i porezu na kuće za odmor uslijed nemogućnosti naplate.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16.725,70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>Odnosi se na spornu obvezu iznosa 15.705,33 EUR te ostatak redovnih obveza iznosa 1.020,37 EUR zaprimljenih i podmirenih u siječnju. Od ostalih redovnih obveza 16,00 EUR je od proračunskih korisnika.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1.831.130,43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t xml:space="preserve">Nedospjele obveze ukupnog iznosa 1.831.130,43 EUR odnose se na obveze po redovnom poslovanju i obveze po kreditima koje grad i proračunski korisnici uredno izvršavaju. Značajnijeg su iznosa uslijed velikih kapitalnih ulaganja u područni vrtić, teniske </w:t>
      </w:r>
      <w:proofErr w:type="spellStart"/>
      <w:r>
        <w:t>svlačione</w:t>
      </w:r>
      <w:proofErr w:type="spellEnd"/>
      <w:r>
        <w:t>, dječje i sportsko igralište te nogostup. Uključuju račune za izvedene radove u prosincu s dospijećem u siječnju. Kod proračunskih korisnika najznačajniji iznos odlazi na obveze za isplatu plaće. 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F7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F70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2F70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335.468,74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F70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F7062" w:rsidRDefault="002F7062">
      <w:pPr>
        <w:spacing w:after="0"/>
      </w:pPr>
    </w:p>
    <w:p w:rsidR="002F7062" w:rsidRDefault="00000000">
      <w:r>
        <w:lastRenderedPageBreak/>
        <w:t>Uključuju obveze za EU predujmove dane iz državnog proračuna (predujam po Ugovoru o dodjeli bespovratnih sredstava u sklopu projekta Dogradnja i opremanje Područnog vrtića Mokrice) te obveze za naplaćene tuđe prihode.</w:t>
      </w:r>
    </w:p>
    <w:p w:rsidR="002F7062" w:rsidRDefault="00000000">
      <w:r>
        <w:t xml:space="preserve">Obveze za naplaćena sredstva proračunskog korisnika (neutrošena vlastita sredstva Dječjeg vrtića Cvrkutić </w:t>
      </w:r>
      <w:proofErr w:type="spellStart"/>
      <w:r>
        <w:t>prenešena</w:t>
      </w:r>
      <w:proofErr w:type="spellEnd"/>
      <w:r>
        <w:t xml:space="preserve"> na račun grada uslijed ulaska u sustav riznice te pomoći iz državnog proračuna za Dječji vrtić Cvrkutić) eliminirane su iz ovog izvještaja.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p w:rsidR="002F7062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2F7062" w:rsidRDefault="00000000">
      <w:r>
        <w:t>U izvještaju su eliminirani transferi Grada Oroslavja prema proračunskim korisnicima koji su na razini 22 evidentirani na računu 367, odnosno na razini 21 na računu 671, ukupnog iznosa 635.804,70 EUR ( Dječji vrtić Cvrkutić 558.266,84 EUR i Gradska knjižnica Oroslavje 77.537,86 EUR).</w:t>
      </w:r>
    </w:p>
    <w:p w:rsidR="002F7062" w:rsidRDefault="00000000">
      <w:r>
        <w:t xml:space="preserve">Također, eliminirane su transakcije prema proračunskim korisnicima koje su na razini 22 prikazane na računu 274, a na razini 21 na računu 167, ukupnog iznosa 1.313,87 EUR. One se odnose na naplaćena sredstva proračunskog korisnika (neutrošena vlastita sredstva Dječjeg vrtića Cvrkutić </w:t>
      </w:r>
      <w:proofErr w:type="spellStart"/>
      <w:r>
        <w:t>prenešena</w:t>
      </w:r>
      <w:proofErr w:type="spellEnd"/>
      <w:r>
        <w:t xml:space="preserve"> na račun grada uslijed ulaska u sustav riznice 181,07 EUR te pomoći iz državnog proračuna za Dječji vrtić Cvrkutić 1.132,80 EUR)</w:t>
      </w:r>
    </w:p>
    <w:p w:rsidR="002F7062" w:rsidRDefault="002F7062"/>
    <w:p w:rsidR="002F7062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p w:rsidR="002F7062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2F7062" w:rsidRDefault="00000000">
      <w:r>
        <w:rPr>
          <w:b/>
        </w:rPr>
        <w:t>Preneseni višak prihoda</w:t>
      </w:r>
      <w:r>
        <w:t xml:space="preserve"> ukupnog iznosa 2.427.937,62 sastoji se od sljedećih stavki:        </w:t>
      </w:r>
    </w:p>
    <w:p w:rsidR="002F7062" w:rsidRDefault="00000000">
      <w:r>
        <w:rPr>
          <w:b/>
        </w:rPr>
        <w:t xml:space="preserve">Grad Oroslavje </w:t>
      </w:r>
      <w:r>
        <w:t>         </w:t>
      </w:r>
    </w:p>
    <w:p w:rsidR="002F7062" w:rsidRDefault="00000000">
      <w:pPr>
        <w:pStyle w:val="Odlomakpopisa"/>
        <w:numPr>
          <w:ilvl w:val="0"/>
          <w:numId w:val="1"/>
        </w:numPr>
      </w:pPr>
      <w:r>
        <w:rPr>
          <w:i/>
        </w:rPr>
        <w:t>višak prihoda poslovanja</w:t>
      </w:r>
      <w:r>
        <w:t xml:space="preserve"> - neutrošeni prihodi 2024. iz izvora 5.1.6. Tekuće pomoći iz DP za provedbu edukativnih, kulturnih i sportskih aktivnosti djece predškolske dobi i djece I-IV razreda OŠ koji se namjenski koriste za pokriće troškova provođenja radionica u 2025. godini 15.043,40 EUR, umanjeno za vraćena sredstva, ukupno 9.709,54</w:t>
      </w:r>
    </w:p>
    <w:p w:rsidR="002F7062" w:rsidRDefault="00000000">
      <w:pPr>
        <w:pStyle w:val="Odlomakpopisa"/>
        <w:numPr>
          <w:ilvl w:val="0"/>
          <w:numId w:val="1"/>
        </w:numPr>
      </w:pPr>
      <w:r>
        <w:rPr>
          <w:i/>
        </w:rPr>
        <w:t>višak prihoda od nefinancijske imovine</w:t>
      </w:r>
      <w:r>
        <w:t xml:space="preserve"> iznosa 2.416.555,82 EUR  </w:t>
      </w:r>
      <w:r w:rsidR="00762A22">
        <w:br/>
      </w:r>
    </w:p>
    <w:p w:rsidR="002F7062" w:rsidRDefault="00000000">
      <w:r>
        <w:rPr>
          <w:b/>
        </w:rPr>
        <w:t xml:space="preserve">Proračunski korisnici   </w:t>
      </w:r>
      <w:r>
        <w:t>       </w:t>
      </w:r>
    </w:p>
    <w:p w:rsidR="002F7062" w:rsidRDefault="00000000">
      <w:pPr>
        <w:pStyle w:val="Odlomakpopisa"/>
        <w:numPr>
          <w:ilvl w:val="0"/>
          <w:numId w:val="2"/>
        </w:numPr>
      </w:pPr>
      <w:r>
        <w:rPr>
          <w:i/>
        </w:rPr>
        <w:t>višak prihoda poslovanja</w:t>
      </w:r>
      <w:r>
        <w:t xml:space="preserve"> Gradske knjižnice Oroslavje 2.990,26 EUR    </w:t>
      </w:r>
    </w:p>
    <w:p w:rsidR="002F7062" w:rsidRDefault="00000000">
      <w:pPr>
        <w:pStyle w:val="Odlomakpopisa"/>
        <w:numPr>
          <w:ilvl w:val="0"/>
          <w:numId w:val="2"/>
        </w:numPr>
      </w:pPr>
      <w:r>
        <w:rPr>
          <w:i/>
        </w:rPr>
        <w:t>višak prihoda poslovanja</w:t>
      </w:r>
      <w:r>
        <w:t xml:space="preserve"> Otvorenog učilišta Oroslavje 1.903,34 EUR    </w:t>
      </w:r>
    </w:p>
    <w:p w:rsidR="002F7062" w:rsidRDefault="00000000">
      <w:pPr>
        <w:pStyle w:val="Odlomakpopisa"/>
        <w:numPr>
          <w:ilvl w:val="0"/>
          <w:numId w:val="2"/>
        </w:numPr>
      </w:pPr>
      <w:r>
        <w:rPr>
          <w:i/>
        </w:rPr>
        <w:t>manjak prihoda poslovanja</w:t>
      </w:r>
      <w:r>
        <w:t xml:space="preserve"> Dječjeg vrtića Cvrkutić 3.221,34 EUR  </w:t>
      </w:r>
      <w:r w:rsidR="00762A22">
        <w:br/>
      </w:r>
    </w:p>
    <w:p w:rsidR="002F7062" w:rsidRDefault="00000000">
      <w:r>
        <w:t xml:space="preserve">Uključujući manjak prihoda i primitaka ostvarenog u ovom izvještajnom razdoblju iznosa 2.317.387,29 EUR, višak prihoda raspoloživ u sljedećem razdoblju iznosi </w:t>
      </w:r>
      <w:r>
        <w:rPr>
          <w:b/>
        </w:rPr>
        <w:t>110.550,33 EUR</w:t>
      </w:r>
      <w:r>
        <w:t>.</w:t>
      </w:r>
    </w:p>
    <w:p w:rsidR="002F7062" w:rsidRDefault="00000000">
      <w:r>
        <w:rPr>
          <w:b/>
        </w:rPr>
        <w:lastRenderedPageBreak/>
        <w:t>Višak prihoda raspoloživ u sljedećem razdoblju</w:t>
      </w:r>
      <w:r>
        <w:t xml:space="preserve"> sastoji se od: </w:t>
      </w:r>
    </w:p>
    <w:p w:rsidR="002F7062" w:rsidRDefault="00000000">
      <w:r>
        <w:rPr>
          <w:b/>
        </w:rPr>
        <w:t xml:space="preserve">Grad Oroslavje </w:t>
      </w:r>
      <w:r>
        <w:t xml:space="preserve">(višak prihoda od </w:t>
      </w:r>
      <w:r>
        <w:rPr>
          <w:i/>
        </w:rPr>
        <w:t>164.550,86 EUR</w:t>
      </w:r>
      <w:r>
        <w:t>)</w:t>
      </w:r>
    </w:p>
    <w:p w:rsidR="002F7062" w:rsidRDefault="00000000">
      <w:pPr>
        <w:pStyle w:val="Odlomakpopisa"/>
        <w:numPr>
          <w:ilvl w:val="0"/>
          <w:numId w:val="3"/>
        </w:numPr>
      </w:pPr>
      <w:r>
        <w:t>višak prihoda poslovanja 2.098.287,37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Opći prihodi i primici 1.826.715,45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Prihodi za posebne namjene 269.474,90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Naknade s naslova osiguranja 2.097,02 EUR</w:t>
      </w:r>
    </w:p>
    <w:p w:rsidR="002F7062" w:rsidRDefault="00000000">
      <w:pPr>
        <w:pStyle w:val="Odlomakpopisa"/>
        <w:numPr>
          <w:ilvl w:val="0"/>
          <w:numId w:val="3"/>
        </w:numPr>
      </w:pPr>
      <w:r>
        <w:t>manjak prihoda od nefinancijske imovine 1.755.631,40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Opći prihodi i primici 1.073.005,94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Prihodi za posebne namjene 276.329,83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Naknade s naslova osiguranja 2.097,02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Pomoći 404.198,61 EUR</w:t>
      </w:r>
    </w:p>
    <w:p w:rsidR="002F7062" w:rsidRDefault="00000000">
      <w:pPr>
        <w:pStyle w:val="Odlomakpopisa"/>
        <w:numPr>
          <w:ilvl w:val="0"/>
          <w:numId w:val="3"/>
        </w:numPr>
      </w:pPr>
      <w:r>
        <w:t>manjak primitaka od financijske imovine 178.105,11 EUR</w:t>
      </w:r>
    </w:p>
    <w:p w:rsidR="002F7062" w:rsidRDefault="00000000">
      <w:pPr>
        <w:pStyle w:val="Odlomakpopisa"/>
        <w:numPr>
          <w:ilvl w:val="2"/>
          <w:numId w:val="3"/>
        </w:numPr>
      </w:pPr>
      <w:r>
        <w:t>Izvor Opći prihodi i primici 178.105,11 EUR</w:t>
      </w:r>
      <w:r w:rsidR="00762A22">
        <w:br/>
      </w:r>
    </w:p>
    <w:p w:rsidR="002F7062" w:rsidRDefault="00000000">
      <w:r>
        <w:rPr>
          <w:b/>
        </w:rPr>
        <w:t xml:space="preserve">Proračunski korisnici </w:t>
      </w:r>
      <w:r>
        <w:t xml:space="preserve">(manjak prihoda </w:t>
      </w:r>
      <w:r>
        <w:rPr>
          <w:i/>
        </w:rPr>
        <w:t>54.000,53 EUR</w:t>
      </w:r>
      <w:r>
        <w:t>)</w:t>
      </w:r>
    </w:p>
    <w:p w:rsidR="002F7062" w:rsidRDefault="00000000">
      <w:r>
        <w:t>Dječji vrtić Cvrkutić (manjak prihoda 50.948,80 EUR)</w:t>
      </w:r>
    </w:p>
    <w:p w:rsidR="002F7062" w:rsidRDefault="00000000">
      <w:pPr>
        <w:pStyle w:val="Odlomakpopisa"/>
        <w:numPr>
          <w:ilvl w:val="0"/>
          <w:numId w:val="4"/>
        </w:numPr>
      </w:pPr>
      <w:r>
        <w:t>višak prihoda poslovanja 205.616,17 EUR</w:t>
      </w:r>
    </w:p>
    <w:p w:rsidR="002F7062" w:rsidRDefault="00000000">
      <w:pPr>
        <w:pStyle w:val="Odlomakpopisa"/>
        <w:numPr>
          <w:ilvl w:val="0"/>
          <w:numId w:val="4"/>
        </w:numPr>
      </w:pPr>
      <w:r>
        <w:t>manjak prihoda od nefinancijske imovine 256.564,97 EUR</w:t>
      </w:r>
      <w:r w:rsidR="00762A22">
        <w:br/>
      </w:r>
    </w:p>
    <w:p w:rsidR="002F7062" w:rsidRDefault="00000000">
      <w:r>
        <w:t>Gradska knjižnica Oroslavje (manjak prihoda 4.955,07 EUR)</w:t>
      </w:r>
    </w:p>
    <w:p w:rsidR="002F7062" w:rsidRDefault="00000000">
      <w:pPr>
        <w:pStyle w:val="Odlomakpopisa"/>
        <w:numPr>
          <w:ilvl w:val="0"/>
          <w:numId w:val="5"/>
        </w:numPr>
      </w:pPr>
      <w:r>
        <w:t>višak prihoda poslovanja 11.361,85 EUR</w:t>
      </w:r>
    </w:p>
    <w:p w:rsidR="002F7062" w:rsidRDefault="00000000">
      <w:pPr>
        <w:pStyle w:val="Odlomakpopisa"/>
        <w:numPr>
          <w:ilvl w:val="0"/>
          <w:numId w:val="5"/>
        </w:numPr>
      </w:pPr>
      <w:r>
        <w:t>manjak prihoda od nefinancijske imovine 16.316,92 EUR</w:t>
      </w:r>
      <w:r w:rsidR="00762A22">
        <w:br/>
      </w:r>
    </w:p>
    <w:p w:rsidR="002F7062" w:rsidRDefault="00000000">
      <w:r>
        <w:t>Otvoreno učilište Oroslavje (višak prihoda 1.903,34 EUR)</w:t>
      </w:r>
    </w:p>
    <w:p w:rsidR="002F7062" w:rsidRDefault="00000000">
      <w:pPr>
        <w:pStyle w:val="Odlomakpopisa"/>
        <w:numPr>
          <w:ilvl w:val="0"/>
          <w:numId w:val="6"/>
        </w:numPr>
      </w:pPr>
      <w:r>
        <w:t>višak prihoda poslovanja 1.903,34 EUR</w:t>
      </w:r>
    </w:p>
    <w:p w:rsidR="002F7062" w:rsidRDefault="002F7062"/>
    <w:sectPr w:rsidR="002F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3946"/>
    <w:multiLevelType w:val="hybridMultilevel"/>
    <w:tmpl w:val="24869C14"/>
    <w:name w:val="disc"/>
    <w:lvl w:ilvl="0" w:tplc="3E1E6A56">
      <w:start w:val="1"/>
      <w:numFmt w:val="bullet"/>
      <w:lvlText w:val="•"/>
      <w:lvlJc w:val="left"/>
      <w:pPr>
        <w:ind w:left="720" w:hanging="360"/>
      </w:pPr>
    </w:lvl>
    <w:lvl w:ilvl="1" w:tplc="0740757C">
      <w:start w:val="1"/>
      <w:numFmt w:val="bullet"/>
      <w:lvlText w:val="•"/>
      <w:lvlJc w:val="left"/>
      <w:pPr>
        <w:ind w:left="1440" w:hanging="360"/>
      </w:pPr>
    </w:lvl>
    <w:lvl w:ilvl="2" w:tplc="A33A77BA">
      <w:start w:val="1"/>
      <w:numFmt w:val="bullet"/>
      <w:lvlText w:val="•"/>
      <w:lvlJc w:val="left"/>
      <w:pPr>
        <w:ind w:left="2160" w:hanging="360"/>
      </w:pPr>
    </w:lvl>
    <w:lvl w:ilvl="3" w:tplc="9FA4ECBA">
      <w:start w:val="1"/>
      <w:numFmt w:val="bullet"/>
      <w:lvlText w:val="•"/>
      <w:lvlJc w:val="left"/>
      <w:pPr>
        <w:ind w:left="2880" w:hanging="360"/>
      </w:pPr>
    </w:lvl>
    <w:lvl w:ilvl="4" w:tplc="2F006604">
      <w:start w:val="1"/>
      <w:numFmt w:val="bullet"/>
      <w:lvlText w:val="•"/>
      <w:lvlJc w:val="left"/>
      <w:pPr>
        <w:ind w:left="3600" w:hanging="360"/>
      </w:pPr>
    </w:lvl>
    <w:lvl w:ilvl="5" w:tplc="31BC6D92">
      <w:start w:val="1"/>
      <w:numFmt w:val="bullet"/>
      <w:lvlText w:val="•"/>
      <w:lvlJc w:val="left"/>
      <w:pPr>
        <w:ind w:left="4320" w:hanging="360"/>
      </w:pPr>
    </w:lvl>
    <w:lvl w:ilvl="6" w:tplc="0F3E2D5E">
      <w:start w:val="1"/>
      <w:numFmt w:val="bullet"/>
      <w:lvlText w:val="•"/>
      <w:lvlJc w:val="left"/>
      <w:pPr>
        <w:ind w:left="5040" w:hanging="360"/>
      </w:pPr>
    </w:lvl>
    <w:lvl w:ilvl="7" w:tplc="FD4E3336">
      <w:start w:val="1"/>
      <w:numFmt w:val="bullet"/>
      <w:lvlText w:val="•"/>
      <w:lvlJc w:val="left"/>
      <w:pPr>
        <w:ind w:left="5760" w:hanging="360"/>
      </w:pPr>
    </w:lvl>
    <w:lvl w:ilvl="8" w:tplc="121AE29C">
      <w:start w:val="1"/>
      <w:numFmt w:val="bullet"/>
      <w:lvlText w:val="•"/>
      <w:lvlJc w:val="left"/>
      <w:pPr>
        <w:ind w:left="6480" w:hanging="360"/>
      </w:pPr>
    </w:lvl>
  </w:abstractNum>
  <w:num w:numId="1" w16cid:durableId="899172529">
    <w:abstractNumId w:val="0"/>
    <w:lvlOverride w:ilvl="0">
      <w:startOverride w:val="1"/>
    </w:lvlOverride>
  </w:num>
  <w:num w:numId="2" w16cid:durableId="24797136">
    <w:abstractNumId w:val="0"/>
    <w:lvlOverride w:ilvl="0">
      <w:startOverride w:val="1"/>
    </w:lvlOverride>
  </w:num>
  <w:num w:numId="3" w16cid:durableId="856425828">
    <w:abstractNumId w:val="0"/>
    <w:lvlOverride w:ilvl="0">
      <w:startOverride w:val="1"/>
    </w:lvlOverride>
  </w:num>
  <w:num w:numId="4" w16cid:durableId="19160930">
    <w:abstractNumId w:val="0"/>
    <w:lvlOverride w:ilvl="0">
      <w:startOverride w:val="1"/>
    </w:lvlOverride>
  </w:num>
  <w:num w:numId="5" w16cid:durableId="708184635">
    <w:abstractNumId w:val="0"/>
    <w:lvlOverride w:ilvl="0">
      <w:startOverride w:val="1"/>
    </w:lvlOverride>
  </w:num>
  <w:num w:numId="6" w16cid:durableId="13174205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062"/>
    <w:rsid w:val="001E3055"/>
    <w:rsid w:val="002F7062"/>
    <w:rsid w:val="00762A22"/>
    <w:rsid w:val="00D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36DE"/>
  <w15:docId w15:val="{491805D5-8AA6-4A60-B7C4-A2E50065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4665</Words>
  <Characters>26597</Characters>
  <Application>Microsoft Office Word</Application>
  <DocSecurity>0</DocSecurity>
  <Lines>221</Lines>
  <Paragraphs>62</Paragraphs>
  <ScaleCrop>false</ScaleCrop>
  <Company/>
  <LinksUpToDate>false</LinksUpToDate>
  <CharactersWithSpaces>31200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2026-02-25T13:27:00Z</dcterms:created>
  <dcterms:modified xsi:type="dcterms:W3CDTF">2026-02-25T13:29:00Z</dcterms:modified>
</cp:coreProperties>
</file>