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A810DC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810DC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A810DC" w:rsidRDefault="00000000">
            <w:pPr>
              <w:spacing w:after="0" w:line="240" w:lineRule="auto"/>
            </w:pPr>
            <w:r>
              <w:t>28549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810DC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A810DC" w:rsidRDefault="00000000">
            <w:pPr>
              <w:spacing w:after="0" w:line="240" w:lineRule="auto"/>
            </w:pPr>
            <w:r>
              <w:t>GRAD OROSLAVJE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810DC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A810DC" w:rsidRDefault="00000000">
            <w:pPr>
              <w:spacing w:after="0" w:line="240" w:lineRule="auto"/>
            </w:pPr>
            <w:r>
              <w:t>22</w:t>
            </w:r>
          </w:p>
        </w:tc>
      </w:tr>
    </w:tbl>
    <w:p w:rsidR="00A810DC" w:rsidRDefault="00000000">
      <w:r>
        <w:br/>
      </w:r>
    </w:p>
    <w:p w:rsidR="00A810DC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A810DC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A810DC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4.724.661,25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6.614.066,66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140,0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2.671.338,04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3.440.904,00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128,8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A810D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2.053.323,21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3.173.162,66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154,5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3.644,74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3.235,64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88,8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1.320.941,28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5.260.007,69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398,2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A810D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1.317.296,54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5.256.772,05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399,1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120.288,60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178.105,11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148,1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A810D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120.288,60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178.105,11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148,1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A810D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2.261.714,50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A810DC" w:rsidRDefault="00A810DC">
      <w:pPr>
        <w:spacing w:after="0"/>
      </w:pPr>
    </w:p>
    <w:p w:rsidR="00A810DC" w:rsidRDefault="00000000">
      <w:pPr>
        <w:jc w:val="both"/>
      </w:pPr>
      <w:r>
        <w:t xml:space="preserve">Višak prihoda poslovanja ostvaren je u 54,5 % većem iznosu u odnosu na izvještajno razdoblje prethodne godine. Manjak prihoda od nefinancijske imovine ostvaren je u 299,1 % većem iznosu, obzirom da je 2025. godina bila godina najvećih kapitalnih ulaganja. Manjak primitaka od financijske imovine i zaduživanja ostvaren je u 48,1 % većem iznosu budući da je u izvještajnom razdoblju prikazana otplata glavnice dugoročnog kredita za čitavu godinu </w:t>
      </w:r>
      <w:r>
        <w:lastRenderedPageBreak/>
        <w:t>dok je u 2024. godini ona evidentirana tek od 7. mjeseca. Sve navedeno je rezultiralo manjkom prihoda i primitaka ukupnog iznosa 2.261.714,50 eura. </w:t>
      </w:r>
    </w:p>
    <w:p w:rsidR="00A810DC" w:rsidRDefault="00000000">
      <w:pPr>
        <w:jc w:val="both"/>
      </w:pPr>
      <w:r>
        <w:t>Obzirom na preneseni višak prihoda iz 2024. godine iznosa 2.426.265,36 eura, rezultat, odnosno višak prihoda raspoloživ u sljedećem razdoblju iznosi 164.550,86 eura.</w:t>
      </w:r>
    </w:p>
    <w:p w:rsidR="00A810DC" w:rsidRDefault="00000000">
      <w:pPr>
        <w:jc w:val="both"/>
      </w:pPr>
      <w:r>
        <w:t>Od 2025. godine u primjeni su nove odredbe i upute koje su rezultirale prilagodbom te novim načinom evidentiranja određenih događaja. Izmjene su izvršene po uputama iz Pravilnika o proračunskom računovodstvu i računskom planu, Pravilnika o korištenju sredstava Europske unije, Uputama za računovodstveno evidentiranje sredstava Europske unije, Uputom Ministarstva financija za oznake izvora financiranja sredstava Europske unije, Izmjenama i dopunama Pravilnika o proračunskim klasifikacijama te Pravilnikom o izmjenama i dopunama Pravilnika o financijskom izvještavanju u proračunskom računovodstvu.</w:t>
      </w:r>
    </w:p>
    <w:p w:rsidR="00A810DC" w:rsidRDefault="00000000">
      <w:r>
        <w:br/>
      </w:r>
    </w:p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4.724.661,25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6.614.066,66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140,0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>Prihodi poslovanja u razdoblju od 1. siječnja do 31. prosinca 2025. godine ostvareni su u iznosu 6.614.066,66 eura, odnosno 40% više u odnosu na ostvarene prihode poslovanja u istom razdoblju 2024. Na povećanje prihoda poslovanja najvećim je dijelom utjecalo povećanje ostvarenih prihoda od poreza na dohodak, od dividendi i udjela u dobiti, prihoda od povrata poreza po godišnjoj prijavi, prihoda po opomenama za neplaćenu komunalnu naknadu te kapitalnih pomoći iz državnog proračuna temeljem prijenosa EU sredstava za izgradnju područnog vrtića.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poreza (šifre 611+612+613+614+615+616)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3.878.663,58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4.612.300,68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118,9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>Zabilježen porast prihoda od poreza uslijed rasta plaća, evidentirani su znatno veći prihodi od poreza na dohodak od dividendi i udjela u dobiti te prihoda od povrata poreza po godišnjoj prijavi.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Povremeni porezi na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132.852,09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198.889,52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149,7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>Rast prihoda od poreza na promet nekretnina od 49,7% zbog većeg stjecanja nekretnina.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Porezi na robu i usluge (šifre 6141 do 61476148)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55.104,56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60.121,46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109,1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>Rast prihoda od poreza na potrošnju zbog povećane potrošnje pića u ugostiteljstvu, uslijed brojnih organiziranih manifestacija.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306.696,77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1.371.508,01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447,2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>Ostvarene su veće pomoći iz državnog proračuna za fiskalnu održivost dječjih vrtića te je ostvarena pomoć iz državnog proračuna temeljem prijenosa EU sredstava za izgradnju područnog vrtića.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temeljem prijenosa EU sredstava (šifre 6381+6382)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44.362,67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1.141.216,01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2572,5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 xml:space="preserve">Dobivene su kapitalne pomoći iz državnog proračuna temeljem prijenosa EU sredstava za izgradnju područnog vrtića te preostala sredstva za izgradnju </w:t>
      </w:r>
      <w:proofErr w:type="spellStart"/>
      <w:r>
        <w:t>reciklažnog</w:t>
      </w:r>
      <w:proofErr w:type="spellEnd"/>
      <w:r>
        <w:t xml:space="preserve"> dvorišta. 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464,43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>Po projektu iz 2022. godine za ažuriranje postojećeg plana razvoja širokopojasne infrastrukture pristupa internetu – PRŠI za područje Gradova Donja Stubica i Oroslavje i Općina Veliko Trgovišće, Stubičke Toplice, Gornja Stubica i Marija Bistrica, zaprimljena su preostala sredstva iz proračuna Grada Donja Stubica, a temeljem prijenosa EU sredstava. 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44.362,67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1.140.751,58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2571,4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 xml:space="preserve">Sukladno Uputi za računovodstveno evidentiranje sredstava Europske unije, na prihodima su prikazana sredstva po odobrenim ZNS-ovima. Stoga je ovdje evidentirano 862.030,77 EUR pomoći za Izgradnju Područnog vrtića Mokrice i 278.720,81 EUR za Izgradnju </w:t>
      </w:r>
      <w:proofErr w:type="spellStart"/>
      <w:r>
        <w:t>Reciklažnog</w:t>
      </w:r>
      <w:proofErr w:type="spellEnd"/>
      <w:r>
        <w:t xml:space="preserve"> dvorišta. </w:t>
      </w:r>
    </w:p>
    <w:p w:rsidR="00A810DC" w:rsidRDefault="00000000">
      <w:r>
        <w:t>Za Dogradnju Područnog vrtića zaprimljen je predujam koji se bilježi na kontu obveze, a po odobrenju ZNS-a prikazat će se na prihodima 2026. godine. 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na oročena sredstva i depozite po viđenju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55.117,14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25.870,23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46,9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>Prihod od kamata na oročena sredstva je manji za 53,1% zbog manjeg iznosa oročenih sredstava u 2025., obzirom da su sredstva alocirana u projekt izgradnje područnog vrtića.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koncesije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8.408,24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13.259,31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157,7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>Povećanje prihoda od naknade za koncesije od 57,7% uslijed provođenja nove nabave za koncesiju za obavljanje dimnjačarskih poslova prilikom čega je ugovorena veća koncesijska naknada.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zakupa i iznajmljivanja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56.098,73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78.024,53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139,1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>Povećanje od 39,1% zbog prihoda od zakupa poljoprivrednog zemljišta - po izvršenju Ugovora o zakupu uplaćena je naknada u cijelosti.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395.007,33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497.630,64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126,0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>Tokom 2025. godine provodile su se potrebne radnje za naplatu dospjelih nenaplaćenih potraživanja, uslijed čega je evidentiran porast od 26%. 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Županijske, gradske i općinske 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2.171,66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2.701,14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124,4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>Uplaćene su naknade za korištenje javnih gradskih površina za potraživanja iz prethodnih godina pa je posljedično i povećanje za 24,4%.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Komunalni doprinosi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34.979,34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59.525,89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170,2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>Uplaćen komunalni doprinos za potraživanja iz prethodnih godina te je izdano više rješenja za građenje zgrada za stambene, poslovne i proizvodne namjene, što je rezultiralo povećanjem prihoda za 70,2%.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322.818,18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411.949,04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127,6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>Upućene su opomene za neplaćenu komunalnu naknadu te shodno tome evidentiran je porast tih prihoda uslijed njihove naplate.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1.892,76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4.435,94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234,4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>Donacija za Advent, donacija odvoza i zbrinjavanja otpada za Ljetnu pozornicu te donacija za božićne pakete.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 xml:space="preserve">Ove godine nije bilo kapitalnih donacija, u 2024. donacija za </w:t>
      </w:r>
      <w:proofErr w:type="spellStart"/>
      <w:r>
        <w:t>streetball</w:t>
      </w:r>
      <w:proofErr w:type="spellEnd"/>
      <w:r>
        <w:t xml:space="preserve"> igralište.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Kazne, upravne mjere i ostali prihodi (šifre 681+683)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5349,1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>Zabilježeni veći prihodi od kamata na ovrhe.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2.671.338,04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3.440.904,00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128,8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>Rashodi poslovanja u razdoblju od 1. siječnja do 31. prosinca 2025. godine ostvareni su u iznosu 3.440.904,00 eura, a na njihovo povećanje od 28,80%  utjecalo je povećanje rashoda za zaposlene uslijed rasta plaća i gdje je prema izmjenama Pravilnika prikazano 13 rashoda za plaće (prosinac 2024 te siječanj-prosinac 2025), povećanje materijalnih rashoda zbog provođenja radionica za djecu predškolske dobi i djecu I-IV razreda osnovne škole te nabavu didaktičke, motoričke i senzomotoričke opreme i igrački za dječji vrtić, povećanje troškova održavanja cesta i drugih javnih površina, veći troškovi zimske službe, povećanje prijenosa proračunskim korisnicima za redovnu djelatnost, veće isplate naknada građanima i slično. 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404.852,34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511.637,86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126,4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>Evidentirani su veći rashodi za zaposlene uslijed rasta plaće dužnosnika i rasta osnovice za službenike i namještenike krajem 2024. Prema izmjenama pravilnika prikazano je 13 rashoda za plaće (prosinac 2024 te siječanj-prosinac 2025).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2.795,07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7.373,47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263,8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lastRenderedPageBreak/>
        <w:t xml:space="preserve">Povećani troškovi službenih putovanja zbog odlaska u SAD po knjige </w:t>
      </w:r>
      <w:proofErr w:type="spellStart"/>
      <w:r>
        <w:t>J.F.Mikulca</w:t>
      </w:r>
      <w:proofErr w:type="spellEnd"/>
      <w:r>
        <w:t>.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9.341,60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30.049,94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321,7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>Evidentirano više rashoda uslijed provođenja radionica za djecu predškolske dobi i djecu I-IV razreda osnovne škole te nabave didaktičke, motoričke i senzomotoričke opreme i igrački za dječji vrtić.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67.469,82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84.211,21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124,8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>Povećana potrošnja električne energije, novi privremeni priključci.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872,53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3.883,97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445,1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>Nabavljeno više sitnog inventara za redovno poslovanje.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156.598,22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201.549,98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128,7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>Povećani su troškovi održavanja cesta i javne rasvjete, više je troškova za čišćenje cesta od snijega zbog nepovoljnijih vremenskih uvjeta u odnosu na 2024., ulagalo se više u održavanje dječjih igrališta.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27.729,65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56.200,92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202,7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>Povećani su rashodi uslijed većih troškova objavljivanja akata i oglasa u službenom tisku - Narodnim novinama i Službenom glasniku Krapinsko-zagorske županije, provođenja vidljivosti projekta "</w:t>
      </w:r>
      <w:proofErr w:type="spellStart"/>
      <w:r>
        <w:t>Reciklažno</w:t>
      </w:r>
      <w:proofErr w:type="spellEnd"/>
      <w:r>
        <w:t xml:space="preserve"> dvorište", povećanja izdvajanja za elektroničke medije. 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24.837,34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37.651,78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151,6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>Povećanje zbog naknade za uređenje voda za nerazvrstane ceste koje u 2024. nije bilo te zbog većih troškova odvoza smeća.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13.722,25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18.399,18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134,1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>Porast rashoda uslijed većih premija osiguranja. 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Troškovi sudskih postupaka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422,32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3.980,97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942,6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>Evidentirana naknada i trošak parničnog postupka. 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za primljene kredite i zajmove od kreditnih i ostalih financijskih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8.425,16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6.030,12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71,6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>Smanjuju se kamate na dugoročni kredit za kapitalnu izgradnju.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poljoprivrednicima i obrtnicima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10.211,79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7.861,85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77,0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>Smanjenje subvencioniranja kamata za odobrene kredite malim i srednjim poduzetnicima sukladno obračunima županije.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drugom proračunu i izvanproračunskim korisnicima (šifre 3631 do 3636)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12.543,70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189.778,15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1512,9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>Povećanje uslijed promjene evidentiranja pomoći javnoj vatrogasnoj postrojbi te za upućivanje sredstava za potrebe provedbe lokalnih izbora.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drugih proračuna (šifre 3661 do 3663)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171.857,46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87.999,87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51,2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>Smanjenje uslijed promjene evidentiranja pomoći javnoj vatrogasnoj postrojbi.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6.625,00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31.919,56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481,8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>Veće kapitalne pomoći Osnovnoj i Srednjoj školi Oroslavje za nabavu opreme. 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proračunskim korisnicima iz nadležnog proračuna za financiranje redovne djelatnosti (šifre 3672 do 3674)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483.573,33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635.804,70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131,5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>Veći su prijenosi prema proračunskim korisnicima za redovnu djelatnost te dodatno uplaćena sredstva za nabavu klima uređaja u dječjem vrtiću.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građanima i kućanstvima iz proračuna (šifre 3721 do 3723)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479.836,10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546.170,57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113,8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 xml:space="preserve">Evidentirane su veće pomoći prema građanima uslijed povećanja korisnika i povećanih iznosa </w:t>
      </w:r>
      <w:proofErr w:type="spellStart"/>
      <w:r>
        <w:t>uskrsnica</w:t>
      </w:r>
      <w:proofErr w:type="spellEnd"/>
      <w:r>
        <w:t xml:space="preserve"> i božićnica za umirovljenike i osobe s invaliditetom. Također, povećani su iznosi naknada za novorođenčad.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(šifre 3811 do 3813)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364.092,57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571.679,51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157,0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>Povećana donacija Vatrogasnoj zajednici, Sportskoj zajednici Grada Oroslavja, HCK-u te Turističkoj zajednici za redovno poslovanje i manifestacije.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 građanima i kućanstvima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>Donacija za kupnju automobila za osobu s posebnim potrebama u sklopu humanitarne akcije organizirane od strane Udruženja obrtnika gradova Donja Stubica, Oroslavje i općina Marija Bistrica, Gornja Stubica, Stubičke Toplice.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kreditnim i ostalim financijskim institucijama te trgovačkim društvima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1.518,86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162,0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 xml:space="preserve">Veće kapitalne pomoći odnose se na financiranje ulaganja u komunalne vodne građevine na području Grada Oroslavja - Ogranak u ulici Viktora </w:t>
      </w:r>
      <w:proofErr w:type="spellStart"/>
      <w:r>
        <w:t>Gorupca</w:t>
      </w:r>
      <w:proofErr w:type="spellEnd"/>
      <w:r>
        <w:t xml:space="preserve"> sukladno ugovoru sa Zagorskim vodovodom. 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42.211,73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9.709,54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23,0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 xml:space="preserve">Višak prihoda poslovanja 2024. godine koji se prema </w:t>
      </w:r>
      <w:r>
        <w:rPr>
          <w:i/>
        </w:rPr>
        <w:t>Odluci o raspodjeli rezultata</w:t>
      </w:r>
      <w:r>
        <w:t xml:space="preserve"> koristi namjenski za provođenje radionica. (pomoć iz DP za provedbu edukativnih, kulturnih i sportskih aktivnosti djece predškolske dobi i djece I-IV razreda OŠ umanjena za neutrošena i vraćena sredstva)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201.926,29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569.183,38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281,9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lastRenderedPageBreak/>
        <w:t>Značajno povećanje uslijed evidentiranja podnesenih ZNS-ova po projektu Izgradnja i opremanje područnog vrtića Mokrice.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1.320.941,28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5.260.007,69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398,2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 xml:space="preserve">Rashodi za nabavu nefinancijske imovine u razdoblju od 1. siječnja do 31. prosinca 2025. godine ostvareni su u iznosu 5.260.007,69 eura, a na njihovo povećanje od 298,2% najvećim je dijelom utjecalo povećanje rashoda za nabavu proizvedene dugotrajne imovine zbog provođenja projekta izgradnje i opremanja područnog vrtića, završetka projekta izgradnje </w:t>
      </w:r>
      <w:proofErr w:type="spellStart"/>
      <w:r>
        <w:t>reciklažnog</w:t>
      </w:r>
      <w:proofErr w:type="spellEnd"/>
      <w:r>
        <w:t xml:space="preserve"> dvorišta, ulaganja u dječja igrališta te rashoda za kupnju knjiga (muzejskih izložaka). 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1.063.407,00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5.059.842,37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475,8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 xml:space="preserve">Povećanje rashoda za nabavu proizvedene dugotrajne imovine ponajviše zbog provođenja projekta izgradnje i opremanja područnog vrtića, završetka projekta izgradnje </w:t>
      </w:r>
      <w:proofErr w:type="spellStart"/>
      <w:r>
        <w:t>reciklažnog</w:t>
      </w:r>
      <w:proofErr w:type="spellEnd"/>
      <w:r>
        <w:t xml:space="preserve"> dvorišta te ulaganja u dječja igrališta. Uključeni su i svi troškovi uvoza knjige putopisca </w:t>
      </w:r>
      <w:proofErr w:type="spellStart"/>
      <w:r>
        <w:t>J.F.Mikulca</w:t>
      </w:r>
      <w:proofErr w:type="spellEnd"/>
      <w:r>
        <w:t xml:space="preserve"> iz SAD-a.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4.766,12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12.820,47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269,0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>Nabavljeno više uredske opreme i namještaja za potrebe redovnog poslovanja.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Knjige, umjetnička djela i ostale izložbene vrijednosti (šifre 4241 do 4244)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244.193,99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 xml:space="preserve">Knjige putopisca </w:t>
      </w:r>
      <w:proofErr w:type="spellStart"/>
      <w:r>
        <w:t>J.F.Mikulca</w:t>
      </w:r>
      <w:proofErr w:type="spellEnd"/>
      <w:r>
        <w:t xml:space="preserve"> s uključenim troškovima uvoza iz SAD-a.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Ulaganja u računalne programe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22.220,45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10.018,75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45,1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 xml:space="preserve">Smanjenje ulaganja u računalne programe. Prethodne godine je bilo više uslijed ulaganja u digitalno uredsko poslovanje i </w:t>
      </w:r>
      <w:proofErr w:type="spellStart"/>
      <w:r>
        <w:t>komis</w:t>
      </w:r>
      <w:proofErr w:type="spellEnd"/>
      <w:r>
        <w:t xml:space="preserve"> (za naplatu komunalnih prihoda).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Umjetnička, literarna i znanstvena djela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24.937,50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>Ulaganja u plan rasvjete, plan interpretacije baštine i prostorni plan uređenja grada. 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od nefinancijske imovine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1.773.649,42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2.416.555,82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136,2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 xml:space="preserve">Višak prihoda od nefinancijske imovine 2024. godine koji se prema </w:t>
      </w:r>
      <w:r>
        <w:rPr>
          <w:i/>
        </w:rPr>
        <w:t>Odluci o raspodjeli rezultata</w:t>
      </w:r>
      <w:r>
        <w:t xml:space="preserve"> koristi za izgradnju i opremanje područnog vrtića Mokrice.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120.288,60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178.105,11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148,1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>Izdaci za financijsku imovinu i otplate zajmova u razdoblju od 1. siječnja do 31. prosinca 2025. godine ostvareni su u iznosu 178.105,11 eura, a povećanje od 48,10% nastalo je uslijed otplate glavnice dugoročnog kredita za kapitalnu izgradnju. Otplata kredita je počela u 7. mjesecu 2024. godine, a samim time tih izdataka nije bilo kroz cijelo izvještajno razdoblje prethodne godine.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Otplata glavnice primljenih zajmova od trgovačkih društava i obrtnika izvan javnog sektora (šifre 5453 do 5456)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15.998,01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9.238,49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57,7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>Smanjenje izdataka uslijed otplate glavnice robnih kredita. Otplaćena je glavnica robnog kredita sa Trgovinom Krk d.d. za uređenje prostora DD Mokrice te sa SA-ŠA Elektro j.d.o.o. za uređenje prostora DD Mokrice. Preostaje još jedino otplata robnog kredita sa Trgovinom Krk d.d. za uređenje prostora DD Stubička Slatina. 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početku izvještajnog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905.362,67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2.544.871,27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281,1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 xml:space="preserve">Promjena u evidentiranju novčanih depozita. Sukladno uputi u </w:t>
      </w:r>
      <w:r>
        <w:rPr>
          <w:i/>
        </w:rPr>
        <w:t>Okružnici I-XII 2025.</w:t>
      </w:r>
      <w:r>
        <w:t xml:space="preserve"> da se depoziti u obrascu BIL iskazuju u okviru podskupine 112 u oba stupca podataka, bilo je nužno izmijeniti stanje novčanih sredstva na kraju izvještajnog razdoblja 2024. godine kao i stanje novčanih sredstava na početku izvještajnog razdoblja 2025. godine. Evidentirano je uvećanje za 2.050.000,00 EUR koje je ranije bilo evidentirano u okviru podskupine 121 a odnosi se na oročena sredstva. 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 i 02921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Građevinski objekti (šifre 0211 do 0214 - 02921)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 i 02921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13.654.843,96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14.426.505,48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105,7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 xml:space="preserve">Tokom 2025. godine ulagalo se u uređenje interpretacijskog centra, sanacije krovišta Gradske knjižnice, DD Mokrice, javnu rasvjetu, cestovnu infrastrukturu, nogostupe, objekte oborinske odvodnje, dječje igralište Gornje Oroslavje. Provedeno je uknjiženje </w:t>
      </w:r>
      <w:proofErr w:type="spellStart"/>
      <w:r>
        <w:t>ošasne</w:t>
      </w:r>
      <w:proofErr w:type="spellEnd"/>
      <w:r>
        <w:t xml:space="preserve"> imovine po sudskom rješenju. 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0221 do 0228 - 02922)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312.782,18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267.281,62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85,5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 xml:space="preserve">Tokom izvještajnog razdoblja nabavljena su računala, namještaj za </w:t>
      </w:r>
      <w:proofErr w:type="spellStart"/>
      <w:r>
        <w:t>reciklažno</w:t>
      </w:r>
      <w:proofErr w:type="spellEnd"/>
      <w:r>
        <w:t xml:space="preserve"> dvorište, blagovaonski stolovi i stolice za DD Andraševec, uredski namještaj za prostorije JUO, stolice za Dom kulture, mjerni ormari za priključak, antene za link prema Kamenjaku, sprave za dječje igralište u Parku obitelji Prpić i za dječje igralište Gornje Oroslavje, ljuljačka za dječje igralište u St. Slatini, štandovi i ostala potrebna oprema za rad vlastitog pogona. 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 i 02924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Knjige, umjetnička djela i ostale izložbene vrijednosti (šifre 0241 do 0244 - 02924)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 i 02924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244.193,99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 xml:space="preserve">Nabavljene su knjige J.F. </w:t>
      </w:r>
      <w:proofErr w:type="spellStart"/>
      <w:r>
        <w:t>Mikulca</w:t>
      </w:r>
      <w:proofErr w:type="spellEnd"/>
      <w:r>
        <w:t xml:space="preserve"> - knjiga rukom pisanih sjećanja, putopisa, službenih i vladinih pečata, starih žigova te knjiga rukom pisanih razmišljanja i sjećanja </w:t>
      </w:r>
      <w:proofErr w:type="spellStart"/>
      <w:r>
        <w:t>J.F.Mikulca</w:t>
      </w:r>
      <w:proofErr w:type="spellEnd"/>
      <w:r>
        <w:t>, novinskih članaka, bilješka o adresama, pisama i fotografija.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 i 02926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proizvedena imovina (šifre 0261 do 0264 - 02926)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 i 02926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58.845,82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64.180,55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109,1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>U izvještajnom razdoblju provedeno je ulaganje u računalne programe - licence i implementacija riznice te poreza na nekretnine; ulaganje u plan rasvjete, plan interpretacije baštine te prostorni plan uređenja grada. 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57.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Građevinski objekti u pripremi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1.095.233,77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4.524.094,75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413,1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 xml:space="preserve">Kod imovine u pripremi najznačajnije je ulaganje u Područni vrtić Mokrice, Dječje i sportsko igralište Mokrice i Teniske </w:t>
      </w:r>
      <w:proofErr w:type="spellStart"/>
      <w:r>
        <w:t>svlačione</w:t>
      </w:r>
      <w:proofErr w:type="spellEnd"/>
      <w:r>
        <w:t>. 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58.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Izdvojena novčana sredstva i depoziti u kreditnim i financijskim institucijama (šifre 1121 do 1123)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2.050.000,00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>Promjena u evidentiranju novčanih depozita. Sukladno uputi u Okružnici I-XII 2025. da se depoziti u obrascu BIL iskazuju u okviru podskupine 112 u oba stupca podataka, evidentirano je uvećanje na dan 01.01. za 2.050.000,00 EUR koje je ranije bilo evidentirano u okviru podskupine 121 a odnosi se na oročena sredstva. 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59.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4.553,25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1.666,91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36,6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>Evidentirana su potraživanja za refundaciju od HZZO-a na osnovu bolovanja te potraživanje za predujam od Ina d.d. za gorivo. 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60.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212.489,03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579.746,12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272,8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>Značajno povećanje potraživanja uslijed nove upute o evidentiranju potraživanja za podnesene ZNS-ove po projektu Izgradnje i opremanja područnog vrtića Mokrice.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61.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929.318,17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1.791.226,06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192,7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 xml:space="preserve">Povećanje obveza uslijed najvećih kapitalnih ulaganja. Računi za radove izvedene u prosincu zaprimljeni su u siječnju 2026. Najveći iznosi se odnose na izgradnju i dogradnju te opremanje područnog vrtića Mokrice, izgradnju teniskih </w:t>
      </w:r>
      <w:proofErr w:type="spellStart"/>
      <w:r>
        <w:t>svlačiona</w:t>
      </w:r>
      <w:proofErr w:type="spellEnd"/>
      <w:r>
        <w:t xml:space="preserve">, izgradnju dječjeg i sportskog igrališta u Mokricama, nogostup u </w:t>
      </w:r>
      <w:proofErr w:type="spellStart"/>
      <w:r>
        <w:t>Krušljevom</w:t>
      </w:r>
      <w:proofErr w:type="spellEnd"/>
      <w:r>
        <w:t xml:space="preserve"> Selu. Jedna od značajnijih stavki obveza je obveza za otplatu dugoročnog kredita. 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62.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pomoći drugom proračunu i izvanproračunskim korisnicima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479,45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>Odnosi se na obvezu za rad zajedničkog poljoprivrednog redara sukladno računu ispostavljenom od Općine Gornja Stubica. 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63.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tekuće obveze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2.314,93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1,0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lastRenderedPageBreak/>
        <w:t xml:space="preserve">Iz odjeljka 2395 Ostale nespomenute obveze iz prethodno važećeg Računskog plana preneseni su osnovni računi za praćenje predujmova, depozita, </w:t>
      </w:r>
      <w:proofErr w:type="spellStart"/>
      <w:r>
        <w:t>jamčevnih</w:t>
      </w:r>
      <w:proofErr w:type="spellEnd"/>
      <w:r>
        <w:t xml:space="preserve"> pologa i tuđih prihoda u novu skupinu računa 27 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prihode. U okviru odjeljka 2395 ostao je samo jedan osnovni račun i to 23954 Ostale nespomenute obveze. 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64.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17.993,69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339.913,56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1889,1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 xml:space="preserve">Prema </w:t>
      </w:r>
      <w:r>
        <w:rPr>
          <w:i/>
        </w:rPr>
        <w:t>Uputi za računovodstveno evidentiranje sredstava Europske unije</w:t>
      </w:r>
      <w:r>
        <w:t xml:space="preserve"> prikazujemo Obvezu za EU predujam dobiven iz državnog proračuna za Dogradnju i opremanje područnog vrtića Mokrice. </w:t>
      </w:r>
    </w:p>
    <w:p w:rsidR="00A810DC" w:rsidRDefault="00000000">
      <w:r>
        <w:t xml:space="preserve">Iz odjeljka 2395 Ostale nespomenute obveze iz prethodno važećeg Računskog plana preneseni su osnovni računi za praćenje predujmova, depozita, </w:t>
      </w:r>
      <w:proofErr w:type="spellStart"/>
      <w:r>
        <w:t>jamčevnih</w:t>
      </w:r>
      <w:proofErr w:type="spellEnd"/>
      <w:r>
        <w:t xml:space="preserve"> pologa i tuđih prihoda u novu skupinu računa 27 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prihode.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65.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1.917.523,09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2.098.287,37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109,4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>Višak prihoda poslovanja sastoji se od sljedećih izvora:</w:t>
      </w:r>
    </w:p>
    <w:tbl>
      <w:tblPr>
        <w:tblStyle w:val="Reetkatablice"/>
        <w:tblW w:w="4866" w:type="pct"/>
        <w:tblLook w:val="04A0" w:firstRow="1" w:lastRow="0" w:firstColumn="1" w:lastColumn="0" w:noHBand="0" w:noVBand="1"/>
      </w:tblPr>
      <w:tblGrid>
        <w:gridCol w:w="6662"/>
        <w:gridCol w:w="2377"/>
      </w:tblGrid>
      <w:tr w:rsidR="00A810DC" w:rsidTr="00B72418">
        <w:trPr>
          <w:trHeight w:val="593"/>
        </w:trPr>
        <w:tc>
          <w:tcPr>
            <w:tcW w:w="3685" w:type="pct"/>
            <w:vAlign w:val="center"/>
          </w:tcPr>
          <w:p w:rsidR="00A810DC" w:rsidRDefault="00000000">
            <w:r>
              <w:t xml:space="preserve">Izvor </w:t>
            </w:r>
            <w:r>
              <w:rPr>
                <w:i/>
              </w:rPr>
              <w:t>Opći prihodi i primici</w:t>
            </w:r>
          </w:p>
        </w:tc>
        <w:tc>
          <w:tcPr>
            <w:tcW w:w="1315" w:type="pct"/>
            <w:vAlign w:val="center"/>
          </w:tcPr>
          <w:p w:rsidR="00A810DC" w:rsidRDefault="00000000">
            <w:pPr>
              <w:keepNext/>
              <w:jc w:val="right"/>
            </w:pPr>
            <w:r>
              <w:t>1.826.715,45 EUR</w:t>
            </w:r>
          </w:p>
        </w:tc>
      </w:tr>
      <w:tr w:rsidR="00A810DC" w:rsidTr="00B72418">
        <w:trPr>
          <w:trHeight w:val="668"/>
        </w:trPr>
        <w:tc>
          <w:tcPr>
            <w:tcW w:w="3685" w:type="pct"/>
            <w:vAlign w:val="center"/>
          </w:tcPr>
          <w:p w:rsidR="00A810DC" w:rsidRDefault="00000000">
            <w:r>
              <w:t xml:space="preserve">Izvor </w:t>
            </w:r>
            <w:r>
              <w:rPr>
                <w:i/>
              </w:rPr>
              <w:t>Prihodi za posebne namjene</w:t>
            </w:r>
          </w:p>
        </w:tc>
        <w:tc>
          <w:tcPr>
            <w:tcW w:w="1315" w:type="pct"/>
            <w:vAlign w:val="center"/>
          </w:tcPr>
          <w:p w:rsidR="00A810DC" w:rsidRDefault="00000000">
            <w:pPr>
              <w:keepNext/>
              <w:jc w:val="right"/>
            </w:pPr>
            <w:r>
              <w:t>269.474,90 EUR</w:t>
            </w:r>
          </w:p>
        </w:tc>
      </w:tr>
      <w:tr w:rsidR="00A810DC" w:rsidTr="00B72418">
        <w:trPr>
          <w:trHeight w:val="587"/>
        </w:trPr>
        <w:tc>
          <w:tcPr>
            <w:tcW w:w="3685" w:type="pct"/>
            <w:vAlign w:val="center"/>
          </w:tcPr>
          <w:p w:rsidR="00A810DC" w:rsidRDefault="00000000">
            <w:r>
              <w:t xml:space="preserve">Izvor </w:t>
            </w:r>
            <w:r>
              <w:rPr>
                <w:i/>
              </w:rPr>
              <w:t>Naknade s naslova osiguranja</w:t>
            </w:r>
          </w:p>
        </w:tc>
        <w:tc>
          <w:tcPr>
            <w:tcW w:w="1315" w:type="pct"/>
            <w:vAlign w:val="center"/>
          </w:tcPr>
          <w:p w:rsidR="00A810DC" w:rsidRDefault="00000000">
            <w:pPr>
              <w:keepNext/>
              <w:jc w:val="right"/>
            </w:pPr>
            <w:r>
              <w:t>2.097,02 EUR</w:t>
            </w:r>
          </w:p>
        </w:tc>
      </w:tr>
      <w:tr w:rsidR="00A810DC" w:rsidTr="00B72418">
        <w:tc>
          <w:tcPr>
            <w:tcW w:w="3685" w:type="pct"/>
            <w:vAlign w:val="center"/>
          </w:tcPr>
          <w:p w:rsidR="00A810DC" w:rsidRDefault="00000000">
            <w:r>
              <w:rPr>
                <w:b/>
              </w:rPr>
              <w:t>Ukupno</w:t>
            </w:r>
          </w:p>
        </w:tc>
        <w:tc>
          <w:tcPr>
            <w:tcW w:w="1315" w:type="pct"/>
            <w:vAlign w:val="center"/>
          </w:tcPr>
          <w:p w:rsidR="00A810DC" w:rsidRDefault="00000000">
            <w:pPr>
              <w:keepNext/>
              <w:jc w:val="right"/>
            </w:pPr>
            <w:r>
              <w:rPr>
                <w:b/>
              </w:rPr>
              <w:t>2.098.287,37 EUR</w:t>
            </w:r>
          </w:p>
        </w:tc>
      </w:tr>
    </w:tbl>
    <w:p w:rsidR="00A810DC" w:rsidRDefault="00000000">
      <w:r>
        <w:t> 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66.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1.755.631,40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>Manjak prihoda od nefinancijske imovine sastoji se od sljedećih izvora:</w:t>
      </w:r>
    </w:p>
    <w:tbl>
      <w:tblPr>
        <w:tblStyle w:val="Reetkatablice"/>
        <w:tblW w:w="4942" w:type="pct"/>
        <w:tblLook w:val="04A0" w:firstRow="1" w:lastRow="0" w:firstColumn="1" w:lastColumn="0" w:noHBand="0" w:noVBand="1"/>
      </w:tblPr>
      <w:tblGrid>
        <w:gridCol w:w="6856"/>
        <w:gridCol w:w="2324"/>
      </w:tblGrid>
      <w:tr w:rsidR="00A810DC" w:rsidTr="00B72418">
        <w:trPr>
          <w:trHeight w:val="540"/>
        </w:trPr>
        <w:tc>
          <w:tcPr>
            <w:tcW w:w="3734" w:type="pct"/>
            <w:vAlign w:val="center"/>
          </w:tcPr>
          <w:p w:rsidR="00A810DC" w:rsidRDefault="00000000">
            <w:r>
              <w:t xml:space="preserve">Izvor </w:t>
            </w:r>
            <w:r>
              <w:rPr>
                <w:i/>
              </w:rPr>
              <w:t>Opći prihodi i primici</w:t>
            </w:r>
          </w:p>
        </w:tc>
        <w:tc>
          <w:tcPr>
            <w:tcW w:w="1266" w:type="pct"/>
            <w:vAlign w:val="center"/>
          </w:tcPr>
          <w:p w:rsidR="00A810DC" w:rsidRDefault="00000000">
            <w:pPr>
              <w:keepNext/>
              <w:jc w:val="right"/>
            </w:pPr>
            <w:r>
              <w:t>1.073.005,94 EUR</w:t>
            </w:r>
          </w:p>
        </w:tc>
      </w:tr>
      <w:tr w:rsidR="00A810DC" w:rsidTr="00B72418">
        <w:trPr>
          <w:trHeight w:val="540"/>
        </w:trPr>
        <w:tc>
          <w:tcPr>
            <w:tcW w:w="3734" w:type="pct"/>
            <w:vAlign w:val="center"/>
          </w:tcPr>
          <w:p w:rsidR="00A810DC" w:rsidRDefault="00000000">
            <w:r>
              <w:t xml:space="preserve">Izvor </w:t>
            </w:r>
            <w:r>
              <w:rPr>
                <w:i/>
              </w:rPr>
              <w:t>Prihodi za posebne namjene</w:t>
            </w:r>
          </w:p>
        </w:tc>
        <w:tc>
          <w:tcPr>
            <w:tcW w:w="1266" w:type="pct"/>
            <w:vAlign w:val="center"/>
          </w:tcPr>
          <w:p w:rsidR="00A810DC" w:rsidRDefault="00000000">
            <w:pPr>
              <w:keepNext/>
              <w:jc w:val="right"/>
            </w:pPr>
            <w:r>
              <w:t>276.329,83 EUR</w:t>
            </w:r>
          </w:p>
        </w:tc>
      </w:tr>
      <w:tr w:rsidR="00A810DC" w:rsidTr="00B72418">
        <w:trPr>
          <w:trHeight w:val="540"/>
        </w:trPr>
        <w:tc>
          <w:tcPr>
            <w:tcW w:w="3734" w:type="pct"/>
            <w:vAlign w:val="center"/>
          </w:tcPr>
          <w:p w:rsidR="00A810DC" w:rsidRDefault="00000000">
            <w:r>
              <w:t xml:space="preserve">Izvor </w:t>
            </w:r>
            <w:r>
              <w:rPr>
                <w:i/>
              </w:rPr>
              <w:t>Naknade s naslova osiguranja</w:t>
            </w:r>
          </w:p>
        </w:tc>
        <w:tc>
          <w:tcPr>
            <w:tcW w:w="1266" w:type="pct"/>
            <w:vAlign w:val="center"/>
          </w:tcPr>
          <w:p w:rsidR="00A810DC" w:rsidRDefault="00000000">
            <w:pPr>
              <w:keepNext/>
              <w:jc w:val="right"/>
            </w:pPr>
            <w:r>
              <w:t>2.097,02 EUR</w:t>
            </w:r>
          </w:p>
        </w:tc>
      </w:tr>
      <w:tr w:rsidR="00A810DC" w:rsidTr="00B72418">
        <w:trPr>
          <w:trHeight w:val="540"/>
        </w:trPr>
        <w:tc>
          <w:tcPr>
            <w:tcW w:w="3734" w:type="pct"/>
            <w:vAlign w:val="center"/>
          </w:tcPr>
          <w:p w:rsidR="00A810DC" w:rsidRDefault="00000000">
            <w:r>
              <w:t xml:space="preserve">Izvor </w:t>
            </w:r>
            <w:r>
              <w:rPr>
                <w:i/>
              </w:rPr>
              <w:t>Pomoći</w:t>
            </w:r>
          </w:p>
        </w:tc>
        <w:tc>
          <w:tcPr>
            <w:tcW w:w="1266" w:type="pct"/>
            <w:vAlign w:val="center"/>
          </w:tcPr>
          <w:p w:rsidR="00A810DC" w:rsidRDefault="00000000">
            <w:pPr>
              <w:keepNext/>
              <w:jc w:val="right"/>
            </w:pPr>
            <w:r>
              <w:t>404.198,61 EUR</w:t>
            </w:r>
          </w:p>
        </w:tc>
      </w:tr>
      <w:tr w:rsidR="00A810DC" w:rsidTr="00B72418">
        <w:trPr>
          <w:trHeight w:val="555"/>
        </w:trPr>
        <w:tc>
          <w:tcPr>
            <w:tcW w:w="3734" w:type="pct"/>
            <w:vAlign w:val="center"/>
          </w:tcPr>
          <w:p w:rsidR="00A810DC" w:rsidRDefault="00000000">
            <w:r>
              <w:rPr>
                <w:b/>
              </w:rPr>
              <w:t>Ukupno</w:t>
            </w:r>
          </w:p>
        </w:tc>
        <w:tc>
          <w:tcPr>
            <w:tcW w:w="1266" w:type="pct"/>
            <w:vAlign w:val="center"/>
          </w:tcPr>
          <w:p w:rsidR="00A810DC" w:rsidRDefault="00000000">
            <w:pPr>
              <w:keepNext/>
              <w:jc w:val="right"/>
            </w:pPr>
            <w:r>
              <w:rPr>
                <w:b/>
              </w:rPr>
              <w:t>1.755.631,40 EUR</w:t>
            </w:r>
          </w:p>
        </w:tc>
      </w:tr>
    </w:tbl>
    <w:p w:rsidR="00A810DC" w:rsidRDefault="00000000">
      <w:r>
        <w:t> 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67.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primitaka od 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120.288,60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178.105,11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148,1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>Manjak primitaka od financijske imovine iz izvora Opći prihodi i primici.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68.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(šifre 961 do 963 + 964 do 968)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201.926,29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569.183,38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281,9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>Značajno povećanje obračunatih prihoda uslijed nove upute o evidentiranju potraživanja za podnesene ZNS-ove po projektu Izgradnje i opremanja područnog vrtića Mokrice.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69.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311.538,13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2.944.268,04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945,1</w:t>
            </w:r>
          </w:p>
        </w:tc>
      </w:tr>
    </w:tbl>
    <w:p w:rsidR="00A810DC" w:rsidRDefault="00A810DC">
      <w:pPr>
        <w:spacing w:after="0"/>
      </w:pPr>
    </w:p>
    <w:p w:rsidR="00A810DC" w:rsidRDefault="00000000">
      <w:proofErr w:type="spellStart"/>
      <w:r>
        <w:t>Izvanbilančni</w:t>
      </w:r>
      <w:proofErr w:type="spellEnd"/>
      <w:r>
        <w:t xml:space="preserve"> zapisi aktive i pasive sastoje se od bankovnih garancija, dobivenih bjanko zadužnica za dobro izvršenje ugovora o nabavi, potraživanja po ugovorima o dodijeljenim bespovratnim sredstvima iz EU fondova te preuzetih obveza po ugovorima.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70.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- potraživanja za zajedničke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 ZP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25.993,23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>Odnosi se na 20 % potraživanja za porez na nekretnine koji pripada Krapinsko-zagorskoj županiji.  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71.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Potencijalne obveze po osnovi sudskih sporova u tijeku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>Popis sudskih sporova u tijeku: 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2660"/>
        <w:gridCol w:w="2409"/>
        <w:gridCol w:w="4219"/>
      </w:tblGrid>
      <w:tr w:rsidR="00A810DC" w:rsidTr="00B72418">
        <w:tc>
          <w:tcPr>
            <w:tcW w:w="1432" w:type="pct"/>
            <w:vAlign w:val="center"/>
          </w:tcPr>
          <w:p w:rsidR="00A810DC" w:rsidRDefault="00000000">
            <w:r>
              <w:rPr>
                <w:b/>
              </w:rPr>
              <w:t>TUŽITELJ</w:t>
            </w:r>
          </w:p>
        </w:tc>
        <w:tc>
          <w:tcPr>
            <w:tcW w:w="1297" w:type="pct"/>
            <w:vAlign w:val="center"/>
          </w:tcPr>
          <w:p w:rsidR="00A810DC" w:rsidRDefault="00000000">
            <w:r>
              <w:rPr>
                <w:b/>
              </w:rPr>
              <w:t>TUŽENIK</w:t>
            </w:r>
          </w:p>
        </w:tc>
        <w:tc>
          <w:tcPr>
            <w:tcW w:w="2271" w:type="pct"/>
            <w:vAlign w:val="center"/>
          </w:tcPr>
          <w:p w:rsidR="00A810DC" w:rsidRDefault="00000000">
            <w:r>
              <w:rPr>
                <w:b/>
              </w:rPr>
              <w:t>NAPOMENA</w:t>
            </w:r>
          </w:p>
        </w:tc>
      </w:tr>
      <w:tr w:rsidR="00A810DC" w:rsidTr="00B72418">
        <w:tc>
          <w:tcPr>
            <w:tcW w:w="1432" w:type="pct"/>
            <w:vAlign w:val="center"/>
          </w:tcPr>
          <w:p w:rsidR="00A810DC" w:rsidRDefault="00000000">
            <w:r>
              <w:t>APS DELTA S.A.</w:t>
            </w:r>
          </w:p>
        </w:tc>
        <w:tc>
          <w:tcPr>
            <w:tcW w:w="1297" w:type="pct"/>
            <w:vAlign w:val="center"/>
          </w:tcPr>
          <w:p w:rsidR="00A810DC" w:rsidRDefault="00000000">
            <w:r>
              <w:t>GRAD OROSLAVJE</w:t>
            </w:r>
          </w:p>
        </w:tc>
        <w:tc>
          <w:tcPr>
            <w:tcW w:w="2271" w:type="pct"/>
            <w:vAlign w:val="center"/>
          </w:tcPr>
          <w:p w:rsidR="00A810DC" w:rsidRDefault="00000000">
            <w:r>
              <w:t xml:space="preserve">Ovrha na </w:t>
            </w:r>
            <w:proofErr w:type="spellStart"/>
            <w:r>
              <w:t>ošasnoj</w:t>
            </w:r>
            <w:proofErr w:type="spellEnd"/>
            <w:r>
              <w:t xml:space="preserve"> imovini iza </w:t>
            </w:r>
            <w:proofErr w:type="spellStart"/>
            <w:r>
              <w:t>pok</w:t>
            </w:r>
            <w:proofErr w:type="spellEnd"/>
            <w:r>
              <w:t xml:space="preserve">. Franca </w:t>
            </w:r>
            <w:proofErr w:type="spellStart"/>
            <w:r>
              <w:t>Herića</w:t>
            </w:r>
            <w:proofErr w:type="spellEnd"/>
          </w:p>
        </w:tc>
      </w:tr>
      <w:tr w:rsidR="00A810DC" w:rsidTr="00B72418">
        <w:tc>
          <w:tcPr>
            <w:tcW w:w="1432" w:type="pct"/>
            <w:vAlign w:val="center"/>
          </w:tcPr>
          <w:p w:rsidR="00A810DC" w:rsidRDefault="00000000">
            <w:r>
              <w:t>LUKEC GRADITELJSTVO j.d.o.o.</w:t>
            </w:r>
          </w:p>
        </w:tc>
        <w:tc>
          <w:tcPr>
            <w:tcW w:w="1297" w:type="pct"/>
            <w:vAlign w:val="center"/>
          </w:tcPr>
          <w:p w:rsidR="00A810DC" w:rsidRDefault="00000000">
            <w:r>
              <w:t>GRAD OROSLAVJE</w:t>
            </w:r>
          </w:p>
        </w:tc>
        <w:tc>
          <w:tcPr>
            <w:tcW w:w="2271" w:type="pct"/>
            <w:vAlign w:val="center"/>
          </w:tcPr>
          <w:p w:rsidR="00A810DC" w:rsidRDefault="00000000">
            <w:r>
              <w:t>Trgovački sud u Zagrebu</w:t>
            </w:r>
          </w:p>
        </w:tc>
      </w:tr>
      <w:tr w:rsidR="00A810DC" w:rsidTr="00B72418">
        <w:tc>
          <w:tcPr>
            <w:tcW w:w="1432" w:type="pct"/>
            <w:vAlign w:val="center"/>
          </w:tcPr>
          <w:p w:rsidR="00A810DC" w:rsidRDefault="00000000">
            <w:r>
              <w:t>VODOLIM d.o.o.</w:t>
            </w:r>
          </w:p>
        </w:tc>
        <w:tc>
          <w:tcPr>
            <w:tcW w:w="1297" w:type="pct"/>
            <w:vAlign w:val="center"/>
          </w:tcPr>
          <w:p w:rsidR="00A810DC" w:rsidRDefault="00000000">
            <w:r>
              <w:t>GRAD OROSLAVJE</w:t>
            </w:r>
          </w:p>
        </w:tc>
        <w:tc>
          <w:tcPr>
            <w:tcW w:w="2271" w:type="pct"/>
            <w:vAlign w:val="center"/>
          </w:tcPr>
          <w:p w:rsidR="00A810DC" w:rsidRDefault="00000000">
            <w:r>
              <w:t>Općinski sud u Zlataru</w:t>
            </w:r>
          </w:p>
        </w:tc>
      </w:tr>
      <w:tr w:rsidR="00A810DC" w:rsidTr="00B72418">
        <w:tc>
          <w:tcPr>
            <w:tcW w:w="1432" w:type="pct"/>
            <w:vAlign w:val="center"/>
          </w:tcPr>
          <w:p w:rsidR="00A810DC" w:rsidRDefault="00000000">
            <w:r>
              <w:t>SUVLASNICI STAMBENE ZGRADE ORO TRG 1,2,3</w:t>
            </w:r>
          </w:p>
        </w:tc>
        <w:tc>
          <w:tcPr>
            <w:tcW w:w="1297" w:type="pct"/>
            <w:vAlign w:val="center"/>
          </w:tcPr>
          <w:p w:rsidR="00A810DC" w:rsidRDefault="00000000">
            <w:r>
              <w:t>GRAD OROSLAVJE</w:t>
            </w:r>
          </w:p>
        </w:tc>
        <w:tc>
          <w:tcPr>
            <w:tcW w:w="2271" w:type="pct"/>
            <w:vAlign w:val="center"/>
          </w:tcPr>
          <w:p w:rsidR="00A810DC" w:rsidRDefault="00000000">
            <w:r>
              <w:t>Općinski sud u Zlataru</w:t>
            </w:r>
          </w:p>
        </w:tc>
      </w:tr>
      <w:tr w:rsidR="00A810DC" w:rsidTr="00B72418">
        <w:tc>
          <w:tcPr>
            <w:tcW w:w="1432" w:type="pct"/>
            <w:vAlign w:val="center"/>
          </w:tcPr>
          <w:p w:rsidR="00A810DC" w:rsidRDefault="00000000">
            <w:r>
              <w:t>MARIJA HERIČ</w:t>
            </w:r>
          </w:p>
        </w:tc>
        <w:tc>
          <w:tcPr>
            <w:tcW w:w="1297" w:type="pct"/>
            <w:vAlign w:val="center"/>
          </w:tcPr>
          <w:p w:rsidR="00A810DC" w:rsidRDefault="00000000">
            <w:r>
              <w:t>GRAD OROSLAVJE</w:t>
            </w:r>
          </w:p>
        </w:tc>
        <w:tc>
          <w:tcPr>
            <w:tcW w:w="2271" w:type="pct"/>
            <w:vAlign w:val="center"/>
          </w:tcPr>
          <w:p w:rsidR="00A810DC" w:rsidRDefault="00000000">
            <w:r>
              <w:t>Općinski sud u Zlataru</w:t>
            </w:r>
          </w:p>
        </w:tc>
      </w:tr>
      <w:tr w:rsidR="00A810DC" w:rsidTr="00B72418">
        <w:tc>
          <w:tcPr>
            <w:tcW w:w="1432" w:type="pct"/>
            <w:vAlign w:val="center"/>
          </w:tcPr>
          <w:p w:rsidR="00A810DC" w:rsidRDefault="00000000">
            <w:r>
              <w:t>GRAD OROSLAVJE</w:t>
            </w:r>
          </w:p>
        </w:tc>
        <w:tc>
          <w:tcPr>
            <w:tcW w:w="1297" w:type="pct"/>
            <w:vAlign w:val="center"/>
          </w:tcPr>
          <w:p w:rsidR="00A810DC" w:rsidRDefault="00000000">
            <w:r>
              <w:t>MG-TRILJ d.o.o.</w:t>
            </w:r>
          </w:p>
        </w:tc>
        <w:tc>
          <w:tcPr>
            <w:tcW w:w="2271" w:type="pct"/>
            <w:vAlign w:val="center"/>
          </w:tcPr>
          <w:p w:rsidR="00A810DC" w:rsidRDefault="00000000">
            <w:r>
              <w:t>Općinski sud u Zlataru</w:t>
            </w:r>
          </w:p>
        </w:tc>
      </w:tr>
    </w:tbl>
    <w:p w:rsidR="00A810DC" w:rsidRDefault="00000000">
      <w:r>
        <w:t> 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rashodima prema funkcijskoj klasifikaciji</w:t>
      </w:r>
    </w:p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72.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A810D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Kontrolni zbroj (šifre 01+02+03+04+05+06+07+08+09+10)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3.508.705,99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8.065.106,99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229,9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>Sadrži rashode razvrstane prema njihovoj namjeni. Razvrstavaju se rashodi poslovanja razreda 3 i rashodi za nabavu nefinancijske imovine razreda 4, a izdaci za financijsku imovinu i otplatu zajmova (razred 5) ne uključuje se u ovaj obrazac. Također nisu uključeni ni troškovi proračunskih korisnika (konto 367 PR-RAS-a).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73.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A810D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Neproizvedena</w:t>
            </w:r>
            <w:proofErr w:type="spellEnd"/>
            <w:r>
              <w:rPr>
                <w:sz w:val="18"/>
              </w:rPr>
              <w:t xml:space="preserve">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10.873,26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 xml:space="preserve">Stavka povećanja odnosi se na uknjiženje zemljišta po sudskom rješenju - </w:t>
      </w:r>
      <w:proofErr w:type="spellStart"/>
      <w:r>
        <w:t>ošasna</w:t>
      </w:r>
      <w:proofErr w:type="spellEnd"/>
      <w:r>
        <w:t xml:space="preserve"> imovina. 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74.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A810D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97.623,60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973.077,75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996,8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 xml:space="preserve">Stavka povećanja odnosi se na uknjiženje kuće po sudskom rješenju - </w:t>
      </w:r>
      <w:proofErr w:type="spellStart"/>
      <w:r>
        <w:t>ošasna</w:t>
      </w:r>
      <w:proofErr w:type="spellEnd"/>
      <w:r>
        <w:t xml:space="preserve"> imovina. </w:t>
      </w:r>
    </w:p>
    <w:p w:rsidR="00A810DC" w:rsidRDefault="00000000">
      <w:r>
        <w:t>Stavka smanjenja odnosi se na ispravak vrijednosti nematerijalne proizvedene imovine. 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75.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A810D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7.188,34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lastRenderedPageBreak/>
        <w:t>Stavka smanjenja odnosi se na otpis potraživanja po komunalnoj naknadi i porezu na kuće za odmor uslijed nemogućnosti naplate.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76.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A810D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16.709,70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>Odnosi se na spornu obvezu iznosa 15.705,33 EUR te ostatak redovnih obveza iznosa 980,75 EUR zaprimljenih i podmirenih u siječnju. 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77.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A810D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1.774.516,36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 xml:space="preserve">Nedospjele obveze ukupnog iznosa 1.774.516,36 EUR odnose se na obveze po redovnom poslovanju i obveze po kreditima koje grad uredno izvršava. Značajnijeg su iznosa uslijed velikih kapitalnih ulaganja u područni vrtić, teniske </w:t>
      </w:r>
      <w:proofErr w:type="spellStart"/>
      <w:r>
        <w:t>svlačione</w:t>
      </w:r>
      <w:proofErr w:type="spellEnd"/>
      <w:r>
        <w:t>, dječje i sportsko igralište te nogostup. Uključuju račune za izvedene radove u prosincu s dospijećem u siječnju. 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78.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A810D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336.782,61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 xml:space="preserve">Uključuju obveze za naplaćena sredstva proračunskog korisnika (neutrošena vlastita sredstva Dječjeg vrtića Cvrkutić </w:t>
      </w:r>
      <w:proofErr w:type="spellStart"/>
      <w:r>
        <w:t>prenešena</w:t>
      </w:r>
      <w:proofErr w:type="spellEnd"/>
      <w:r>
        <w:t xml:space="preserve"> na račun grada uslijed ulaska u sustav riznice te pomoći iz državnog proračuna za Dječji vrtić Cvrkutić), obveze za EU predujmove dane iz državnog proračuna (predujam po Ugovoru o dodjeli bespovratnih sredstava u sklopu projekta Dogradnja i opremanje Područnog vrtića Mokrice) te obveze za naplaćene tuđe prihode.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79.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90.273,71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>Odnosi se na redovne tekuće obveze, od kojih su najznačajnije stavke plaća za prosinac, potrošnja električne energije i plina te zimska služba. 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80.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763.133,05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 xml:space="preserve">Obveze za kapitalna ulaganja - izgradnja i dogradnja te opremanje područnog vrtića Mokrice, izgradnja teniskih </w:t>
      </w:r>
      <w:proofErr w:type="spellStart"/>
      <w:r>
        <w:t>svlačiona</w:t>
      </w:r>
      <w:proofErr w:type="spellEnd"/>
      <w:r>
        <w:t xml:space="preserve">, izgradnja dječjeg i sportskog igrališta u Mokricama, izgradnja nogostupa u </w:t>
      </w:r>
      <w:proofErr w:type="spellStart"/>
      <w:r>
        <w:t>Krušljevom</w:t>
      </w:r>
      <w:proofErr w:type="spellEnd"/>
      <w:r>
        <w:t xml:space="preserve"> Selu. 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81.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25,26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financijsku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 dio 25,26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581.196,04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>Sastoji se od obveze za otplatu glavnice po dugoročnom kreditu i obveze po robnom kreditu. </w:t>
      </w:r>
    </w:p>
    <w:p w:rsidR="00A810DC" w:rsidRDefault="00A810DC"/>
    <w:p w:rsidR="00A810DC" w:rsidRDefault="00000000">
      <w:pPr>
        <w:keepNext/>
        <w:spacing w:line="240" w:lineRule="auto"/>
        <w:jc w:val="center"/>
      </w:pPr>
      <w:r>
        <w:rPr>
          <w:sz w:val="28"/>
        </w:rPr>
        <w:t>Bilješka 82.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81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10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3.130,95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10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810DC" w:rsidRDefault="00A810DC">
      <w:pPr>
        <w:spacing w:after="0"/>
      </w:pPr>
    </w:p>
    <w:p w:rsidR="00A810DC" w:rsidRDefault="00000000">
      <w:r>
        <w:t xml:space="preserve">Odnosi se na obveze za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>.</w:t>
      </w:r>
    </w:p>
    <w:p w:rsidR="00A810DC" w:rsidRDefault="00A810DC"/>
    <w:p w:rsidR="00B72418" w:rsidRDefault="00B72418"/>
    <w:p w:rsidR="00B72418" w:rsidRDefault="00B72418"/>
    <w:p w:rsidR="00B72418" w:rsidRDefault="00B72418"/>
    <w:p w:rsidR="00A810DC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83.</w:t>
      </w:r>
    </w:p>
    <w:p w:rsidR="00A810DC" w:rsidRDefault="00000000">
      <w:pPr>
        <w:spacing w:line="240" w:lineRule="auto"/>
        <w:jc w:val="both"/>
      </w:pPr>
      <w:r>
        <w:rPr>
          <w:b/>
        </w:rPr>
        <w:t>EU izvještaj</w:t>
      </w:r>
    </w:p>
    <w:p w:rsidR="00A810DC" w:rsidRDefault="00000000">
      <w:r>
        <w:t xml:space="preserve">EU izvještaj po izvorima financiranja uključuje kapitalne pomoći iz državnog proračuna temeljem prijenosa EU sredstava po projektu Izgradnje </w:t>
      </w:r>
      <w:proofErr w:type="spellStart"/>
      <w:r>
        <w:t>reciklažnog</w:t>
      </w:r>
      <w:proofErr w:type="spellEnd"/>
      <w:r>
        <w:t xml:space="preserve"> dvorišta i po projektu Izgradnje i opremanja te dogradnje i opremanja područnog vrtića Mokrice. </w:t>
      </w:r>
    </w:p>
    <w:p w:rsidR="00A810DC" w:rsidRDefault="00000000">
      <w:r>
        <w:t xml:space="preserve">Konto 63821 uključuje ostvarene kapitalne pomoći po završnom ZNS-u po projektu Izgradnje </w:t>
      </w:r>
      <w:proofErr w:type="spellStart"/>
      <w:r>
        <w:t>reciklažnog</w:t>
      </w:r>
      <w:proofErr w:type="spellEnd"/>
      <w:r>
        <w:t xml:space="preserve"> dvorišta iznosa 278.720,81 EUR te kapitalne pomoći po odobrenim ZNS-ovima po projektu Izgradnje i opremanja područnog vrtića Mokrice iznosa 862.030,77 EUR. </w:t>
      </w:r>
    </w:p>
    <w:p w:rsidR="00A810DC" w:rsidRDefault="00000000">
      <w:r>
        <w:t xml:space="preserve">Konto 4212 uključuje rashode na izgradnji i opremanju područnog vrtića Mokrice do iznosa podnesenih ZNS-ova. Dok konto 4214 uključuje rashode na izgradnji </w:t>
      </w:r>
      <w:proofErr w:type="spellStart"/>
      <w:r>
        <w:t>reciklažnog</w:t>
      </w:r>
      <w:proofErr w:type="spellEnd"/>
      <w:r>
        <w:t xml:space="preserve"> dvorišta. Konto 4263 odnosi se na rashode za izradu </w:t>
      </w:r>
      <w:proofErr w:type="spellStart"/>
      <w:r>
        <w:t>ePlanova</w:t>
      </w:r>
      <w:proofErr w:type="spellEnd"/>
      <w:r>
        <w:t xml:space="preserve"> - prostornog plana uređenja grada.  </w:t>
      </w:r>
    </w:p>
    <w:p w:rsidR="00A810DC" w:rsidRDefault="00000000">
      <w:r>
        <w:t>Potraživanja za kapitalne pomoći iz državnog proračuna temeljem prijenosa EU sredstava odnose se na potraživanja po projektu Izgradnje i opremanja te dogradnje i opremanja područnog vrtića Mokrice. Uključuje preostali iznos po projektu Izgradnje i opremanja područnog vrtića te prvi podneseni ZNS po projektu Dogradnje i opremanja područnog vrtića. </w:t>
      </w:r>
    </w:p>
    <w:p w:rsidR="00A810DC" w:rsidRDefault="00000000">
      <w:r>
        <w:t>Konto 27521 uključuje primljeni predujam po projektu Dogradnje i opremanja područnog vrtića Mokrice, obzirom da do kraja izvještajnog razdoblja nije odobreni ZNS. </w:t>
      </w:r>
    </w:p>
    <w:p w:rsidR="00A810DC" w:rsidRDefault="00000000">
      <w:proofErr w:type="spellStart"/>
      <w:r>
        <w:rPr>
          <w:i/>
        </w:rPr>
        <w:t>Izvanbilančni</w:t>
      </w:r>
      <w:proofErr w:type="spellEnd"/>
      <w:r>
        <w:rPr>
          <w:i/>
        </w:rPr>
        <w:t xml:space="preserve"> zapisi </w:t>
      </w:r>
    </w:p>
    <w:p w:rsidR="00A810DC" w:rsidRDefault="00000000">
      <w:r>
        <w:t xml:space="preserve">Potraživanja po ugovorima i preuzete obveze po ugovorima sastoje se od evidentiranog ugovora o dodjeli bespovratnih sredstava </w:t>
      </w:r>
      <w:proofErr w:type="spellStart"/>
      <w:r>
        <w:t>ePlanovi</w:t>
      </w:r>
      <w:proofErr w:type="spellEnd"/>
      <w:r>
        <w:t xml:space="preserve"> - izrada izmjena i dopuna Prostornog plana uređenja Grada Oroslavja za kojeg u izvještajnom razdoblju nije podnesen ZNS te ugovora o dodjeli bespovratnih sredstava - Izgradnja i opremanje Područnog vrtića Mokrice (preostali iznos) i Dogradnja i opremanje Područnog vrtića Mokrice (podnesen 1. ZNS). </w:t>
      </w:r>
    </w:p>
    <w:p w:rsidR="00A810DC" w:rsidRDefault="00A810DC"/>
    <w:sectPr w:rsidR="00A81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0DC"/>
    <w:rsid w:val="00287F2F"/>
    <w:rsid w:val="00A810DC"/>
    <w:rsid w:val="00B7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F1474"/>
  <w15:docId w15:val="{B4D8580C-4CAF-4457-B03F-30B8B63A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5899</Words>
  <Characters>33630</Characters>
  <Application>Microsoft Office Word</Application>
  <DocSecurity>0</DocSecurity>
  <Lines>280</Lines>
  <Paragraphs>78</Paragraphs>
  <ScaleCrop>false</ScaleCrop>
  <Company/>
  <LinksUpToDate>false</LinksUpToDate>
  <CharactersWithSpaces>39451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2</cp:revision>
  <dcterms:created xsi:type="dcterms:W3CDTF">2026-02-23T12:44:00Z</dcterms:created>
  <dcterms:modified xsi:type="dcterms:W3CDTF">2026-02-23T12:46:00Z</dcterms:modified>
</cp:coreProperties>
</file>