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bookmarkStart w:id="0" w:name="_Hlk47089837"/>
      <w:r>
        <w:rPr>
          <w:sz w:val="20"/>
          <w:szCs w:val="20"/>
        </w:rPr>
        <w:t xml:space="preserve">KLASA: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UBROJ:  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05.10.2022. godine</w:t>
      </w:r>
    </w:p>
    <w:p>
      <w:pPr>
        <w:tabs>
          <w:tab w:val="left" w:pos="4320"/>
        </w:tabs>
        <w:rPr>
          <w:sz w:val="20"/>
          <w:szCs w:val="20"/>
        </w:rPr>
      </w:pPr>
    </w:p>
    <w:bookmarkEnd w:id="0"/>
    <w:p>
      <w:pPr>
        <w:ind w:firstLine="7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 temelju članka 72. stavak 1. Zakona o komunalnom gospodarstvu (N.N. broj: </w:t>
      </w:r>
      <w:r>
        <w:rPr>
          <w:rFonts w:ascii="SignaPro-CondBook" w:hAnsi="SignaPro-CondBook" w:cs="SignaPro-CondBook"/>
          <w:sz w:val="18"/>
          <w:szCs w:val="18"/>
        </w:rPr>
        <w:t>68/2018, 110/2018, 32/2020</w:t>
      </w:r>
      <w:r>
        <w:rPr>
          <w:color w:val="000000" w:themeColor="text1"/>
          <w:sz w:val="20"/>
          <w:szCs w:val="20"/>
        </w:rPr>
        <w:t xml:space="preserve">) i članka 32. Statuta grada Oroslavja (Službeni glasnik Krapinsko-zagorske županije broj </w:t>
      </w:r>
      <w:r>
        <w:rPr>
          <w:sz w:val="20"/>
          <w:szCs w:val="20"/>
        </w:rPr>
        <w:t>16/09., 13/13.,  19/18., 21/20. i 23/21.)</w:t>
      </w:r>
      <w:r>
        <w:rPr>
          <w:color w:val="000000" w:themeColor="text1"/>
          <w:sz w:val="20"/>
          <w:szCs w:val="20"/>
        </w:rPr>
        <w:t xml:space="preserve">  Gradsko vijeće grada Oroslavja na svojoj 21. sjednici održanoj dana 05.10.2022. godine, nije donijelo</w:t>
      </w: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POLUGODIŠNJE IZVRŠENJE PROGRAMA</w:t>
      </w:r>
    </w:p>
    <w:p>
      <w:pPr>
        <w:jc w:val="center"/>
        <w:rPr>
          <w:b/>
        </w:rPr>
      </w:pPr>
      <w:r>
        <w:rPr>
          <w:b/>
        </w:rPr>
        <w:t>održavanja objekata i uređaja komunalne infrastrukture na</w:t>
      </w:r>
    </w:p>
    <w:p>
      <w:pPr>
        <w:jc w:val="center"/>
        <w:rPr>
          <w:b/>
        </w:rPr>
      </w:pPr>
      <w:r>
        <w:rPr>
          <w:b/>
        </w:rPr>
        <w:t>području grada Oroslavja za 2022. godinu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Ovim Programom održavanja komunalne infrastrukture za 2022. godinu (u daljnjem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tekstu: Program) predviđaju se potrebe održavanja objekata i uređaja komunalne infrastrukture na području grada Oroslavja. Program se izvršavao kroz slijedeće aktivnosti: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bookmarkStart w:id="1" w:name="_Hlk520292770"/>
      <w:r>
        <w:rPr>
          <w:sz w:val="20"/>
          <w:szCs w:val="20"/>
        </w:rPr>
        <w:t>1. Održavanje nerazvrstanih cesta,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2. Održavanje i uređivanje parkova, zelenih površina i gradskog groblja,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Zaštita okoliša,</w:t>
      </w:r>
    </w:p>
    <w:p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4. Održavanje objekata i uređaja javne rasvjete,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5. Sanacija štete od elementarne nepogode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</w:p>
    <w:bookmarkEnd w:id="1"/>
    <w:p>
      <w:pPr>
        <w:rPr>
          <w:rFonts w:asciiTheme="minorHAnsi" w:hAnsiTheme="minorHAnsi"/>
          <w:sz w:val="16"/>
          <w:szCs w:val="16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Sredstva iz članka 1. ovog Programa utrošena su za slijedeće namjene: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1. Održavanje nerazvrstanih cesta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Sredstva za tu namjenu predviđena su i izvršena u iznosu:</w:t>
      </w:r>
    </w:p>
    <w:p>
      <w:pPr>
        <w:rPr>
          <w:sz w:val="20"/>
          <w:szCs w:val="20"/>
        </w:rPr>
      </w:pPr>
    </w:p>
    <w:tbl>
      <w:tblPr>
        <w:tblW w:w="9436" w:type="dxa"/>
        <w:tblLook w:val="04A0" w:firstRow="1" w:lastRow="0" w:firstColumn="1" w:lastColumn="0" w:noHBand="0" w:noVBand="1"/>
      </w:tblPr>
      <w:tblGrid>
        <w:gridCol w:w="473"/>
        <w:gridCol w:w="5720"/>
        <w:gridCol w:w="949"/>
        <w:gridCol w:w="1587"/>
        <w:gridCol w:w="707"/>
      </w:tblGrid>
      <w:tr>
        <w:trPr>
          <w:trHeight w:val="430"/>
        </w:trPr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 ODRŽAVANJE NERAZVRSTANIH CESTA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276"/>
        </w:trPr>
        <w:tc>
          <w:tcPr>
            <w:tcW w:w="6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1.1.  Održavanje cesta i drugih javnih puteva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39.157,50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19,58</w:t>
            </w:r>
          </w:p>
        </w:tc>
      </w:tr>
      <w:tr>
        <w:trPr>
          <w:trHeight w:val="44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kamenog materijala, usluge navoza i razgrtanja kamenog materijala na nerazvrstanim cestama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21.012,50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32,33</w:t>
            </w:r>
          </w:p>
        </w:tc>
      </w:tr>
      <w:tr>
        <w:trPr>
          <w:trHeight w:val="59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Strojno orezivanje nerazvrstanih cesta radi širenja kolnika, skidanje bankina, dovoz i ugradnja kamenog materijala, kopanje odvodnih kanala s odvozom zemlje,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14,48</w:t>
            </w:r>
          </w:p>
        </w:tc>
      </w:tr>
      <w:tr>
        <w:trPr>
          <w:trHeight w:val="38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Nabava i ugradnja betonskih cijevi u odvodne kanale uz nerazvrstane ceste radi odvodnje atmosferskih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3,13</w:t>
            </w:r>
          </w:p>
        </w:tc>
      </w:tr>
      <w:tr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i postava prometnih znakova i signalizacije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6.237,50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77,97</w:t>
            </w:r>
          </w:p>
        </w:tc>
      </w:tr>
      <w:tr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Krpanje rupa na asfaltiranim cestama - investicijsko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Stručni nadzor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35,29</w:t>
            </w:r>
          </w:p>
        </w:tc>
      </w:tr>
      <w:tr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Čišćenje snijega i posipanje cesta i nogostupa zbog poledice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31.671,50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31,67</w:t>
            </w:r>
          </w:p>
        </w:tc>
      </w:tr>
      <w:tr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Sanacija šteta od elementarne nepogode na nerazvrstanim cestama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UKUPNO ODRŽAVANJE NERAZVRSTANIH CESTA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70.829,00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22,13</w:t>
            </w:r>
          </w:p>
        </w:tc>
      </w:tr>
      <w:tr>
        <w:trPr>
          <w:trHeight w:val="276"/>
        </w:trPr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>
        <w:trPr>
          <w:trHeight w:val="10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39.157,50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19,58</w:t>
            </w:r>
          </w:p>
        </w:tc>
      </w:tr>
      <w:tr>
        <w:trPr>
          <w:trHeight w:val="27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31.671,50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26,39</w:t>
            </w:r>
          </w:p>
        </w:tc>
      </w:tr>
      <w:tr>
        <w:trPr>
          <w:trHeight w:val="27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70.829,00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22,13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2. </w:t>
      </w:r>
      <w:r>
        <w:rPr>
          <w:rFonts w:asciiTheme="minorHAnsi" w:hAnsiTheme="minorHAnsi" w:cstheme="minorHAnsi"/>
          <w:b/>
          <w:bCs/>
          <w:sz w:val="20"/>
          <w:szCs w:val="20"/>
        </w:rPr>
        <w:t>Održavanje javnih površina na kojima nije dopušten promet motornim vozilima</w:t>
      </w:r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sredstva su predviđena i izvršena kako slijedi: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480"/>
        <w:gridCol w:w="5400"/>
        <w:gridCol w:w="1480"/>
        <w:gridCol w:w="1420"/>
        <w:gridCol w:w="1180"/>
      </w:tblGrid>
      <w:tr>
        <w:trPr>
          <w:trHeight w:val="495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ODRŽAV.JAVNIH POVRŠ.NA KOJIMA NIJE DOPUŠTEN PROMET MOTOR.VOZIL.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Održavanje i uređivanje zelenih površina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91.924,70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37,22</w:t>
            </w:r>
          </w:p>
        </w:tc>
      </w:tr>
      <w:tr>
        <w:trPr>
          <w:trHeight w:val="4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Materijal: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oploćnici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stupići, natpisne ploče, betonske cijevi, rebraste cijevi, daske i drvena građa, beton, cement, armaturne mreže, flaks, gnojivo i dr. potrošni materijal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10.759,70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21,52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Gorivo za strojeve i traktor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34.686,45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77,08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Materijal za popravak  opreme, strojeva i traktora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7.013,01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46,75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sadnica cvijeća sezonskog i trajnice, te ukrasnih grmova i drveća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>
        <w:trPr>
          <w:trHeight w:val="13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Uređenje javnih  površina- košnja trave u parkovima,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Vranicany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kružnih tokova, park uz jezero  i ostale zelene površine; sadnja sadnica cvijeća, uređivanje cvjetnjaka tijekom cijele godine, čišćenje lišća;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površina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Manji zemljani radovi, održavanje - radovi strojem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9,00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Popravak  i nabava božićnog nakita i dekorativne rasvjete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Održavanje traktora, strojeva i alata, registracija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15.515,54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91,27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Postrojenja i oprema - klupe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Uređivanje zapuštenih površina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Strojno orezivanje raslinja uz prometnice i </w:t>
            </w:r>
            <w:proofErr w:type="spellStart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siječa</w:t>
            </w:r>
            <w:proofErr w:type="spellEnd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suhih stabala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Zacjevljivanje</w:t>
            </w:r>
            <w:proofErr w:type="spellEnd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oborinskih jaraka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3.299,00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32,99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okoliša društvenih domova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11,25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dječjih igrališta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10.111,25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50,56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održavanje parkova i drugih javnih  površina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95.585,00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318,62</w:t>
            </w:r>
          </w:p>
        </w:tc>
      </w:tr>
      <w:tr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JAVNIH POVRŠINA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203.169,95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56,91</w:t>
            </w:r>
          </w:p>
        </w:tc>
      </w:tr>
      <w:tr>
        <w:trPr>
          <w:trHeight w:val="24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200.919,95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59,62</w:t>
            </w:r>
          </w:p>
        </w:tc>
      </w:tr>
      <w:tr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4.1. Prihod za posebne namjene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11,25</w:t>
            </w:r>
          </w:p>
        </w:tc>
      </w:tr>
      <w:tr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203.169,95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56,91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Održavanje groblja i mrtvačnice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sredstva su predviđena kako slijedi: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480"/>
        <w:gridCol w:w="5363"/>
        <w:gridCol w:w="1480"/>
        <w:gridCol w:w="1420"/>
        <w:gridCol w:w="1180"/>
      </w:tblGrid>
      <w:tr>
        <w:trPr>
          <w:trHeight w:val="45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ODRŽAVANJE GROBLJA I MRTVAČNICE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3.1.  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Program održavanja gradskog groblja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3.201,08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6,40</w:t>
            </w:r>
          </w:p>
        </w:tc>
      </w:tr>
      <w:tr>
        <w:trPr>
          <w:trHeight w:val="67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Materijal: natpisne ploče, rebraste cijevi, daske i drvena građa, beton, cement, armaturne mreže, flaks, gnojivo, najlon i dr. potrošni materijal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1.376,08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27,52</w:t>
            </w:r>
          </w:p>
        </w:tc>
      </w:tr>
      <w:tr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sadnica tuja te ukrasnih grmova i drveća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Košnja trave na groblju, šišanje živice,  orezivanje tuja  i dr.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1.825,00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4,56</w:t>
            </w:r>
          </w:p>
        </w:tc>
      </w:tr>
      <w:tr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3.2.  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mrtvačnice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61.277,34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74,73</w:t>
            </w:r>
          </w:p>
        </w:tc>
      </w:tr>
      <w:tr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 ODRŽAVANJE GROBLJA I MRTVAČNICE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64.478,42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48,85</w:t>
            </w:r>
          </w:p>
        </w:tc>
      </w:tr>
      <w:tr>
        <w:trPr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4.9.2  Naknade za groblje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64.478,42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48,85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4. Održavanje čistoće javnih površina </w:t>
      </w:r>
      <w:r>
        <w:rPr>
          <w:rFonts w:asciiTheme="minorHAnsi" w:hAnsiTheme="minorHAnsi" w:cstheme="minorHAnsi"/>
          <w:b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sredstva su predviđena kako slijedi:</w:t>
      </w:r>
    </w:p>
    <w:p>
      <w:pPr>
        <w:rPr>
          <w:sz w:val="20"/>
          <w:szCs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480"/>
        <w:gridCol w:w="5394"/>
        <w:gridCol w:w="1480"/>
        <w:gridCol w:w="1420"/>
        <w:gridCol w:w="1180"/>
      </w:tblGrid>
      <w:tr>
        <w:trPr>
          <w:trHeight w:val="465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ODRŽAVANJE ČISTOĆE JAVNIH POVRŠINA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84.150,24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137,95</w:t>
            </w:r>
          </w:p>
        </w:tc>
      </w:tr>
      <w:tr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14.940,35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49,80</w:t>
            </w:r>
          </w:p>
        </w:tc>
      </w:tr>
      <w:tr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Kazna za nerazvrstavanje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Naknada za korištenje odlagališta otpada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69.209,89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Sanacija nelegalnih odlagališta smeća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Deratizacija javnih površina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58.915,00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73,64</w:t>
            </w:r>
          </w:p>
        </w:tc>
      </w:tr>
      <w:tr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prikupljanje otpada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9.668,75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96,69</w:t>
            </w:r>
          </w:p>
        </w:tc>
      </w:tr>
      <w:tr>
        <w:trPr>
          <w:trHeight w:val="28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UKUPNO ODRŽAVANJE ČISTOĆE JAVNIH POVRŠINA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152.733,99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89,32</w:t>
            </w:r>
          </w:p>
        </w:tc>
      </w:tr>
      <w:tr>
        <w:trPr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103.208,70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60,36</w:t>
            </w:r>
          </w:p>
        </w:tc>
      </w:tr>
      <w:tr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4.1.1. Prihodi za posebne namjene - korištenje odlagališta otpada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49.525,29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152.733,99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89,32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5. Održavanje objekata i uređaja javne rasvjete </w:t>
      </w:r>
      <w:r>
        <w:rPr>
          <w:rFonts w:asciiTheme="minorHAnsi" w:hAnsiTheme="minorHAnsi" w:cstheme="minorHAnsi"/>
          <w:sz w:val="20"/>
          <w:szCs w:val="20"/>
        </w:rPr>
        <w:t xml:space="preserve"> obuhvaća rashode vezane na utrošak električne energije, materijal za održavanje i usluge održavanja mreže javne rasvjete, projekta i suglasnosti vezane uz javnu rasvjetu kako slijedi: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480"/>
        <w:gridCol w:w="5347"/>
        <w:gridCol w:w="1360"/>
        <w:gridCol w:w="1260"/>
        <w:gridCol w:w="940"/>
      </w:tblGrid>
      <w:tr>
        <w:trPr>
          <w:trHeight w:val="495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 ODRŽAVANJE JAVNE RASVJETE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Najam i održavanje javne rasvjete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202.125,52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43,01</w:t>
            </w:r>
          </w:p>
        </w:tc>
      </w:tr>
      <w:tr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183.450,52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49,99</w:t>
            </w:r>
          </w:p>
        </w:tc>
      </w:tr>
      <w:tr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22,50</w:t>
            </w:r>
          </w:p>
        </w:tc>
      </w:tr>
      <w:tr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LED rasvjete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Troškovi potrošnje  javne rasvjete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127.505,50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85,00</w:t>
            </w:r>
          </w:p>
        </w:tc>
      </w:tr>
      <w:tr>
        <w:trPr>
          <w:trHeight w:val="28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 ODRŽAVANJE JAVNE RASVJETE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329.631,02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53,17</w:t>
            </w:r>
          </w:p>
        </w:tc>
      </w:tr>
      <w:tr>
        <w:trPr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329.631,02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53,17</w:t>
            </w:r>
          </w:p>
        </w:tc>
      </w:tr>
    </w:tbl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Polugodišnje izvršenje programa objavit će se u Službenom glasniku Krapinsko-zagorske županije i na web stanicama grada Oroslavja.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Ministarstvo financija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Sektor za financijski i proračunski nadzor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  <w:t xml:space="preserve">    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2. Arhiva, ovdje.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</w:t>
      </w:r>
    </w:p>
    <w:p>
      <w:pPr>
        <w:rPr>
          <w:sz w:val="20"/>
          <w:szCs w:val="20"/>
        </w:rPr>
      </w:pP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PREDSJEDNIK</w:t>
      </w:r>
    </w:p>
    <w:p>
      <w:pPr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Gradskog vijeća Oroslavje</w:t>
      </w: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2022-10-18T12:09:00Z</cp:lastPrinted>
  <dcterms:created xsi:type="dcterms:W3CDTF">2022-10-18T11:10:00Z</dcterms:created>
  <dcterms:modified xsi:type="dcterms:W3CDTF">2022-10-18T12:09:00Z</dcterms:modified>
</cp:coreProperties>
</file>