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trg 1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</w:tr>
      <w:tr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 razdoblje od  01. siječnja do 30. rujna 2022. godine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01.01.-30.09.2022. godine, razina 22, sastavljen je temeljem  Pravilnika o financijskom izvještavanju u proračunskom računovodstvu (Narodne novine 37/22)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30. rujna 2022., od 29.09.2022. (KLASA : 400-02/22-01/26 URBROJ: 513-05-03-22-3).</w:t>
      </w:r>
    </w:p>
    <w:p>
      <w:pPr>
        <w:ind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Razina 22 izvještaja znači da pored rashoda Jedinstvenog upravnog odjela izvještaj sadrži samo rashode za proračunske korisnike – ustanove koji su financirane iz proračuna Grada (Dječji vrtić „Cvrkutić“, Gradska knjižnica, Otvoreno učilište - konto 367).</w:t>
      </w:r>
    </w:p>
    <w:p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Sastoji se od obrazaca:  PR-RAS i OBVEZE, koje se predaju Ministarstvu financija putem nove aplikacije Financijsko izvještavanje u sustavu proračuna i Registar proračunskih i izvanproračunskih korisnika te Bilješki koje se objavljuju na internetskim stranicama Grada Oroslavje: </w:t>
      </w:r>
      <w:hyperlink r:id="rId7" w:history="1">
        <w:r>
          <w:rPr>
            <w:rStyle w:val="Hiperveza"/>
            <w:rFonts w:asciiTheme="minorHAnsi" w:hAnsiTheme="minorHAnsi" w:cstheme="minorHAnsi"/>
            <w:bCs/>
            <w:sz w:val="20"/>
            <w:szCs w:val="20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www.grad@oroslavje.hr</w:t>
        </w:r>
      </w:hyperlink>
      <w:r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  <w:t>.</w:t>
      </w:r>
    </w:p>
    <w:p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2022. godinu usvojen je na 8. sjednici Gradskog vijeća dana 22.12.2021. godine.</w:t>
      </w:r>
    </w:p>
    <w:p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</w:rPr>
      </w:pPr>
    </w:p>
    <w:p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 Obrazac PR-RAS</w:t>
      </w:r>
    </w:p>
    <w:p>
      <w:pPr>
        <w:rPr>
          <w:rFonts w:asciiTheme="minorHAnsi" w:hAnsiTheme="minorHAnsi" w:cstheme="minorHAnsi"/>
          <w:b/>
          <w:u w:val="single"/>
        </w:rPr>
      </w:pPr>
    </w:p>
    <w:p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 izvještajnom razdoblju od 01.01. do 30.09.2022. godine ostvareni su u </w:t>
      </w:r>
      <w:r>
        <w:rPr>
          <w:rFonts w:asciiTheme="minorHAnsi" w:hAnsiTheme="minorHAnsi" w:cstheme="minorHAnsi"/>
          <w:b/>
          <w:bCs/>
          <w:sz w:val="22"/>
          <w:szCs w:val="22"/>
        </w:rPr>
        <w:t>iznosu od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21.189.352,46 kuna i u odnosu na isto razdoblje prošle godine povećani su za 175,8%.  </w:t>
      </w:r>
    </w:p>
    <w:p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Na povećanje prihoda utjecao je </w:t>
      </w:r>
    </w:p>
    <w:p>
      <w:pPr>
        <w:pStyle w:val="Tijeloteksta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oporavak gospodarstva uslijed smanjenja pandemije virusa </w:t>
      </w:r>
      <w:proofErr w:type="spellStart"/>
      <w:r>
        <w:rPr>
          <w:rFonts w:asciiTheme="minorHAnsi" w:hAnsiTheme="minorHAnsi" w:cstheme="minorHAnsi"/>
          <w:sz w:val="20"/>
          <w:szCs w:val="20"/>
        </w:rPr>
        <w:t>covid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 što je utjecalo na povećanje gospodarske aktivnosti, a time i povećanje prihoda   te </w:t>
      </w:r>
    </w:p>
    <w:p>
      <w:pPr>
        <w:pStyle w:val="Tijeloteksta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realizacija dugoročnog kredita.</w:t>
      </w:r>
    </w:p>
    <w:p>
      <w:pPr>
        <w:pStyle w:val="Tijeloteksta"/>
        <w:ind w:left="720"/>
        <w:rPr>
          <w:rFonts w:asciiTheme="minorHAnsi" w:hAnsiTheme="minorHAnsi" w:cstheme="minorHAnsi"/>
          <w:sz w:val="20"/>
          <w:szCs w:val="20"/>
        </w:rPr>
      </w:pPr>
    </w:p>
    <w:p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Ostvareno je  16.525.597 kn prihoda poslovanja</w:t>
      </w:r>
      <w:r>
        <w:rPr>
          <w:rFonts w:asciiTheme="minorHAnsi" w:hAnsiTheme="minorHAnsi" w:cstheme="minorHAnsi"/>
          <w:sz w:val="20"/>
          <w:szCs w:val="20"/>
        </w:rPr>
        <w:t xml:space="preserve">, što je u odnosu na prethodnu godinu povećanje  od 137,5%. </w:t>
      </w:r>
      <w:r>
        <w:rPr>
          <w:rFonts w:asciiTheme="minorHAnsi" w:hAnsiTheme="minorHAnsi" w:cstheme="minorHAnsi"/>
          <w:b/>
          <w:bCs/>
          <w:sz w:val="20"/>
          <w:szCs w:val="20"/>
        </w:rPr>
        <w:t>Od prodaje nefinancijske imovine ostvareno je 57.629,94</w:t>
      </w:r>
      <w:r>
        <w:rPr>
          <w:rFonts w:asciiTheme="minorHAnsi" w:hAnsiTheme="minorHAnsi" w:cstheme="minorHAnsi"/>
          <w:sz w:val="20"/>
          <w:szCs w:val="20"/>
        </w:rPr>
        <w:t xml:space="preserve"> kn što je povećanje za 199% u odnosu na prethodnu godinu.</w:t>
      </w:r>
    </w:p>
    <w:p>
      <w:pPr>
        <w:pStyle w:val="Tijelotekst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Od financijske imovine i zaduživanja ostvareno je 4.606.125,52 kn</w:t>
      </w:r>
      <w:r>
        <w:rPr>
          <w:rFonts w:asciiTheme="minorHAnsi" w:hAnsiTheme="minorHAnsi" w:cstheme="minorHAnsi"/>
          <w:sz w:val="20"/>
          <w:szCs w:val="20"/>
        </w:rPr>
        <w:t xml:space="preserve"> iz razloga što je došlo do realizacije dugoročnog kredita planiranog u 2021. godini. (U istom razdoblju prošle godine nije bilo realizacije).</w:t>
      </w: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 6</w:t>
      </w: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611  Porez i prirez na dohodak </w:t>
      </w:r>
      <w:r>
        <w:rPr>
          <w:sz w:val="20"/>
          <w:szCs w:val="20"/>
        </w:rPr>
        <w:t>– u odnosu na isto razdoblje prošle godine uvećani su za 132,2%.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b/>
          <w:sz w:val="20"/>
          <w:szCs w:val="20"/>
        </w:rPr>
        <w:t>613 Porezi na imovinu</w:t>
      </w:r>
      <w:r>
        <w:rPr>
          <w:sz w:val="20"/>
          <w:szCs w:val="20"/>
        </w:rPr>
        <w:t xml:space="preserve">– u odnosu na isto razdoblje prošle godine uvećani su za 238,9%, a odnose se </w:t>
      </w:r>
      <w:r>
        <w:rPr>
          <w:b/>
          <w:bCs/>
          <w:sz w:val="20"/>
          <w:szCs w:val="20"/>
        </w:rPr>
        <w:t>na porez a promet nekretnina u iznosu od 1.568.668,95 kuna</w:t>
      </w:r>
      <w:r>
        <w:rPr>
          <w:sz w:val="20"/>
          <w:szCs w:val="20"/>
        </w:rPr>
        <w:t xml:space="preserve"> i poreza na kuće za odmor u iznosu od 23.014,53 (potraživanja iz 2021. godine),</w:t>
      </w:r>
    </w:p>
    <w:p>
      <w:pPr>
        <w:rPr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614 – Porezi na robu i usluge – </w:t>
      </w:r>
      <w:r>
        <w:rPr>
          <w:rFonts w:asciiTheme="minorHAnsi" w:hAnsiTheme="minorHAnsi" w:cstheme="minorHAnsi"/>
          <w:sz w:val="20"/>
          <w:szCs w:val="20"/>
        </w:rPr>
        <w:t xml:space="preserve">naplaćeno je prihoda od poreza na potrošnju 192.416,06 kuna  ili 799,9% ostvarenja u odnosu  na  razdoblje prethodne godine. Prikazano povećanje je iz razloga  što je  Gradsko vijeće (da se pomogne ugostiteljima na području grada Oroslavja radi krize uzrokovane </w:t>
      </w:r>
      <w:proofErr w:type="spellStart"/>
      <w:r>
        <w:rPr>
          <w:rFonts w:asciiTheme="minorHAnsi" w:hAnsiTheme="minorHAnsi" w:cstheme="minorHAnsi"/>
          <w:sz w:val="20"/>
          <w:szCs w:val="20"/>
        </w:rPr>
        <w:t>Covidom</w:t>
      </w:r>
      <w:proofErr w:type="spellEnd"/>
      <w:r>
        <w:rPr>
          <w:rFonts w:asciiTheme="minorHAnsi" w:hAnsiTheme="minorHAnsi" w:cstheme="minorHAnsi"/>
          <w:sz w:val="20"/>
          <w:szCs w:val="20"/>
        </w:rPr>
        <w:t>) donijelo Odluku o oslobođenju od plaćanja Poreza na potrošnju  za 2021. godinu.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proračunu iz drugih proračuna – </w:t>
      </w:r>
      <w:r>
        <w:rPr>
          <w:rFonts w:asciiTheme="minorHAnsi" w:hAnsiTheme="minorHAnsi" w:cstheme="minorHAnsi"/>
          <w:sz w:val="20"/>
          <w:szCs w:val="20"/>
        </w:rPr>
        <w:t>ostvareno je  120.878,47 kn pomoći (povećanje 523,3%), odnosi se na tekuće pomoći iz županijskog proračuna za sanaciju šteta na nerazvrstanim cestama u iznosu od 36.000 kuna te za nabavu knjiga u iznosu od 84.878,47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636–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proračunskim korisnicima iz proračuna koji im nije nadležan – </w:t>
      </w:r>
      <w:r>
        <w:rPr>
          <w:rFonts w:asciiTheme="minorHAnsi" w:hAnsiTheme="minorHAnsi" w:cstheme="minorHAnsi"/>
          <w:sz w:val="20"/>
          <w:szCs w:val="20"/>
        </w:rPr>
        <w:t>ostvareno je  3.360,00 kn pomoći, odnosi se na tekuću pomoć iz državnog proračuna za redovnu djelatnost Dječjeg vrtića Cvrkutić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638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temeljem prijenosa EU sredstava – </w:t>
      </w:r>
      <w:r>
        <w:rPr>
          <w:rFonts w:asciiTheme="minorHAnsi" w:hAnsiTheme="minorHAnsi" w:cstheme="minorHAnsi"/>
          <w:sz w:val="20"/>
          <w:szCs w:val="20"/>
        </w:rPr>
        <w:t>ostvareno je  282.474,23 kn pomoći (46,8% u odnosu na prošlu godinu), odnosi se na prijenos EU sredstava iz Socijalnog fonda po Projektu „U službi svih nas“ u iznosu od 35.693,21 kuna te prijenosa EU sredstava iz Grada Zaboka, po zajedničkom kapitalnom  projektu Izgradnje biciklističke staze ruta Zabok-Oroslavje,  u iznosu od  246.781,02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641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Prihodi od financijske imovine – </w:t>
      </w:r>
      <w:r>
        <w:rPr>
          <w:rFonts w:asciiTheme="minorHAnsi" w:hAnsiTheme="minorHAnsi" w:cstheme="minorHAnsi"/>
          <w:sz w:val="20"/>
          <w:szCs w:val="20"/>
        </w:rPr>
        <w:t>ostvareno je  1.506,21 kn prihoda od  kamate na depozite po viđenju.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642 – Prihodi od nefinancijske imovine – </w:t>
      </w:r>
      <w:r>
        <w:rPr>
          <w:rFonts w:asciiTheme="minorHAnsi" w:hAnsiTheme="minorHAnsi" w:cstheme="minorHAnsi"/>
          <w:sz w:val="20"/>
          <w:szCs w:val="20"/>
        </w:rPr>
        <w:t xml:space="preserve">u izvještajnom razdoblju ostvareno je 289.833,98 kn ili 154,1% u odnosu na isto razdoblje prethodne godine. 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Odnose na prihode od Koncesije za odvoz komunalnog otpada u iznosu od 35.511,60 kuna i Koncesije za dimnjačarske usluge u iznosu od 19.501,25 kuna, p</w:t>
      </w:r>
      <w:r>
        <w:rPr>
          <w:rFonts w:asciiTheme="minorHAnsi" w:hAnsiTheme="minorHAnsi" w:cstheme="minorHAnsi"/>
          <w:iCs/>
          <w:sz w:val="20"/>
          <w:szCs w:val="20"/>
        </w:rPr>
        <w:t>rihode od zakupa poslovnih objekata</w:t>
      </w:r>
      <w:r>
        <w:rPr>
          <w:rFonts w:asciiTheme="minorHAnsi" w:hAnsiTheme="minorHAnsi" w:cstheme="minorHAnsi"/>
          <w:sz w:val="20"/>
          <w:szCs w:val="20"/>
        </w:rPr>
        <w:t xml:space="preserve"> u iznosu od 204.545 kuna, prihoda od zakupa poljoprivrednog zemljišta u iznosu od 12,00 kuna, prihoda od iznajmljivanja društvenih domova u iznosu od 24.600 i stambenih objekata (zaduženje prijašnjih godina-ovrha) u iznosu od 2.688,24 kuna,  prihoda od spomeničke rente u iznosu od 175,53 kuna i Naknade za nezakonito izgrađene građevine u iznosu od 4.800,36 kuna ( koja je u usporedbi sa proteklom godinom naplaćena u manjem iznosu, a razlog tome je izdan manji broj rješenja u postupku legalizacije.)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651 – upravne i administrativne pristojbe –</w:t>
      </w:r>
      <w:r>
        <w:rPr>
          <w:rFonts w:asciiTheme="minorHAnsi" w:hAnsiTheme="minorHAnsi" w:cstheme="minorHAnsi"/>
          <w:bCs/>
          <w:sz w:val="20"/>
          <w:szCs w:val="20"/>
        </w:rPr>
        <w:t>ostvareno je ukupno 43.477,25 kn ili 96,5% u odnosu na proteklu godinu. Odnosi se na prihode od korištenja javnih gradskih površina ( u iznosu od 22.962,93 kuna),   turističke pristojbe  čije ostvarenje ovisi o broju turista prijavljenih u smještajnim objektima u iznosu od 19.897,86 kuna (koja je u odnosu na prošlu godinu povećana za 121%) i prihoda od prodaje državnog biljega u iznosu od 616,46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652 – Prihodi po posebnim propisima</w:t>
      </w:r>
      <w:r>
        <w:rPr>
          <w:rFonts w:asciiTheme="minorHAnsi" w:hAnsiTheme="minorHAnsi" w:cstheme="minorHAnsi"/>
          <w:sz w:val="20"/>
          <w:szCs w:val="20"/>
        </w:rPr>
        <w:t xml:space="preserve"> –ostvareno je 165.914,26 kn, u odnosu na prethodnu godinu ostvareno povećanje od 342,6%. </w:t>
      </w:r>
    </w:p>
    <w:p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>
        <w:rPr>
          <w:rFonts w:asciiTheme="minorHAnsi" w:hAnsiTheme="minorHAnsi" w:cstheme="minorHAnsi"/>
          <w:iCs/>
          <w:sz w:val="20"/>
          <w:szCs w:val="20"/>
        </w:rPr>
        <w:t>prihodi od vodnog doprinosa  koji su realizirani u iznosu 8.968,86 kn</w:t>
      </w:r>
    </w:p>
    <w:p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i prihoda od sufinanciranja: </w:t>
      </w:r>
    </w:p>
    <w:p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1) komunalnih troškova (troškovi režija) u iznosu od 70.048,47 kuna te</w:t>
      </w:r>
    </w:p>
    <w:p>
      <w:pPr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2)  troškova korištenja odlagališta otpada u iznosu od 86.896,93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653 – Komunalni doprinosi i naknade -</w:t>
      </w:r>
      <w:r>
        <w:rPr>
          <w:rFonts w:asciiTheme="minorHAnsi" w:hAnsiTheme="minorHAnsi" w:cstheme="minorHAnsi"/>
          <w:sz w:val="20"/>
          <w:szCs w:val="20"/>
        </w:rPr>
        <w:t xml:space="preserve">  ostvareno je 2.383.022,02 kn ili 158,9% u usporedbi sa istim razdobljem prethodne godine 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Odnose se na  prihodi od:</w:t>
      </w:r>
    </w:p>
    <w:p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komunalnog doprinosa koji su ostvareni u iznosu 423.349,41 kn, što je povećanje na isto razdoblje prošle godine za 367,5%  prema izdanim Rješenjima,</w:t>
      </w:r>
    </w:p>
    <w:p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Prihode od komunalne naknade za stambeni prostor u iznosu od 613.343,59 kuna i komunalne naknade za poslovni prostor u iznosu od 1.150.542,20 kuna (povećanje u odnosu na isto razdoblje prošle godine za 141% iz razloga što su poduzete mjere naplate starih potraživanja i izdata nova Rješenja) te</w:t>
      </w:r>
    </w:p>
    <w:p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naknada za groblje (godišnja naknada iz protekle godine) u iznosu od  122.459,82 kn i prihoda od ukopa i rezervacija grobnih mjesta u iznosu od 20.302,00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663 – donacije od  pravnih i fizičkih osoba izvan općeg proračuna -</w:t>
      </w:r>
      <w:r>
        <w:rPr>
          <w:rFonts w:asciiTheme="minorHAnsi" w:hAnsiTheme="minorHAnsi" w:cstheme="minorHAnsi"/>
          <w:sz w:val="20"/>
          <w:szCs w:val="20"/>
        </w:rPr>
        <w:t xml:space="preserve"> ostvarene  su u iznosu od 12.797 kuna odnose se na kapitalne donacije građana za asfaltiranje cesta po potpisanom ugovoru iz 2021. godine te tekuće donacija od trgovačkih društava u iznosu od 5.347 kuna.</w:t>
      </w:r>
    </w:p>
    <w:p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>683 – ostali prihodi -</w:t>
      </w:r>
      <w:r>
        <w:rPr>
          <w:rFonts w:asciiTheme="minorHAnsi" w:hAnsiTheme="minorHAnsi" w:cstheme="minorHAnsi"/>
          <w:sz w:val="20"/>
          <w:szCs w:val="20"/>
        </w:rPr>
        <w:t xml:space="preserve"> ostvarene  su u iznosu od 18.361,92 kuna odnose se na  </w:t>
      </w:r>
      <w:r>
        <w:rPr>
          <w:rFonts w:ascii="Arial Narrow" w:hAnsi="Arial Narrow" w:cs="Calibri"/>
          <w:sz w:val="22"/>
          <w:szCs w:val="22"/>
        </w:rPr>
        <w:t>prihode od HZ za zapošljavanje po Ugovoru o sufinanciranju zapošljavanja u javnom radu.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721 -  Prihodi od prodaje proizvedene dugotrajne imovine </w:t>
      </w:r>
      <w:r>
        <w:rPr>
          <w:rFonts w:asciiTheme="minorHAnsi" w:hAnsiTheme="minorHAnsi" w:cstheme="minorHAnsi"/>
          <w:sz w:val="20"/>
          <w:szCs w:val="20"/>
        </w:rPr>
        <w:t xml:space="preserve">–realizirano je 57.629,94  kn ili 199% u  usporedbi s istim razdobljem 2021. godine. </w:t>
      </w:r>
      <w:r>
        <w:rPr>
          <w:rFonts w:ascii="Arial Narrow" w:hAnsi="Arial Narrow" w:cs="Calibri"/>
          <w:sz w:val="22"/>
          <w:szCs w:val="22"/>
        </w:rPr>
        <w:t xml:space="preserve">Odnose se na sredstva od prodaje stanova na kojima postoji stanarsko pravo u iznosu od 10.725,90 kuna (čije </w:t>
      </w:r>
      <w:r>
        <w:rPr>
          <w:rFonts w:asciiTheme="minorHAnsi" w:hAnsiTheme="minorHAnsi" w:cstheme="minorHAnsi"/>
          <w:sz w:val="20"/>
          <w:szCs w:val="20"/>
        </w:rPr>
        <w:t xml:space="preserve">Izvršenje je manje iz razloga što je većina stanova otkupljeno) </w:t>
      </w:r>
      <w:r>
        <w:rPr>
          <w:rFonts w:ascii="Arial Narrow" w:hAnsi="Arial Narrow" w:cs="Calibri"/>
          <w:sz w:val="22"/>
          <w:szCs w:val="22"/>
        </w:rPr>
        <w:t xml:space="preserve">  i od prodaje stanova u  vlasništvu grada u iznosu od 49.904,04 kuna (uplaćena sredstva od APN agencije).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844 – Primljeni krediti od tuzemnih kreditnih institucija Izvan javnog sektora</w:t>
      </w:r>
      <w:r>
        <w:rPr>
          <w:rFonts w:asciiTheme="minorHAnsi" w:hAnsiTheme="minorHAnsi" w:cstheme="minorHAnsi"/>
          <w:sz w:val="20"/>
          <w:szCs w:val="20"/>
        </w:rPr>
        <w:t xml:space="preserve"> – u izvještajnom razdoblju realizirana su sredstva u iznosu od 4.606.125,52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dugoročni kredit koji je bio planiran u Proračuna grada za 2021. godinu u iznosu  od 7.000.000,00 kuna.  Kako smo dana 30.12.2021. godine od Ministarstva financija primili Odluku o davanju suglasnosti za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zaduženje kod Privredne banke nismo mogli realizirati isti u 2021. godini te je Ugovor o dugoročnom  kreditu  sklopljen s Privrednom bankom dana 04.01.2022. godine. 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Odobreni iznos kredita iznosi 7.000.000 kuna za financiranje Projekata: izgradnja biciklističke staze, uređenje Doma kulture, izgradnja zgrade za sport i rekreaciju, rekonstrukciju Dječjeg vrtića, izgradnju cesta, nogostupa i parkirališta te dodatna ulaganja i asfaltiranje cesta u naseljima. Glavnica kredita otplatit će se u 60 mjesečnih rata od kojih prva dospijeva 31.07.2024. godine (zadnja 30.06.2029. godine). Na iskorišteni kredit, počevši od  prvog dana korištenja kredita obračunava se redovna kamata u visini od 0,9% godišnje, fiksna.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pStyle w:val="Tijeloteksta"/>
        <w:rPr>
          <w:rFonts w:asciiTheme="minorHAnsi" w:hAnsiTheme="minorHAnsi" w:cstheme="minorHAnsi"/>
        </w:rPr>
      </w:pPr>
    </w:p>
    <w:p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18.038.086,98 kuna</w:t>
      </w:r>
      <w:r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 (Gradska knjižnica, Dječji vrtić Cvrkutić Otvoreno učilište) u iznosu od 4.239.597,72 kuna, visina rashoda i izdataka Grada iznosi 13.798.489,26 kuna kao slijedi:</w:t>
      </w:r>
    </w:p>
    <w:p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311-  Plaće za redovan rad</w:t>
      </w:r>
      <w:r>
        <w:rPr>
          <w:rFonts w:asciiTheme="minorHAnsi" w:hAnsiTheme="minorHAnsi" w:cstheme="minorHAnsi"/>
          <w:sz w:val="20"/>
          <w:szCs w:val="20"/>
        </w:rPr>
        <w:t xml:space="preserve"> -realizirano je 868.813,36 kuna u odnosu na isto razdoblje prethodne godine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povećanje od 4%. </w:t>
      </w:r>
    </w:p>
    <w:p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Odnosi se na plaće gradonačelnika, plaća za redovni rad 11 zaposlenih, te 1 zaposlenog na određeno vrijeme – Javni radovi. </w:t>
      </w:r>
    </w:p>
    <w:p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Početkom godine uz gradonačelnika u upravnom odjelu bila su zaposlena 3 službenika i 2 zaposlena u vlastitom pogonu grada, a krajem izvještajnog razdoblja uz gradonačelnika 5 službenika, čistačica i 5 zaposlenika vlastitog pogona.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>
        <w:rPr>
          <w:rFonts w:asciiTheme="minorHAnsi" w:hAnsiTheme="minorHAnsi" w:cstheme="minorHAnsi"/>
          <w:bCs/>
          <w:sz w:val="20"/>
          <w:szCs w:val="20"/>
        </w:rPr>
        <w:t xml:space="preserve">   utrošeno je 112.582,82  ili 336 % više u odnosu na isto razdoblje 2021.  U rashode ulaze naknade za  topli obrok te  isplata otpremnine za odlazak u mirovinu (koja je razlog povećanja plana).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>
        <w:rPr>
          <w:rFonts w:asciiTheme="minorHAnsi" w:hAnsiTheme="minorHAnsi" w:cstheme="minorHAnsi"/>
          <w:bCs/>
          <w:sz w:val="20"/>
          <w:szCs w:val="20"/>
        </w:rPr>
        <w:t xml:space="preserve"> –realizirano je 137.702,14 kn, </w:t>
      </w:r>
      <w:r>
        <w:rPr>
          <w:rFonts w:asciiTheme="minorHAnsi" w:hAnsiTheme="minorHAnsi" w:cstheme="minorHAnsi"/>
          <w:sz w:val="20"/>
          <w:szCs w:val="20"/>
        </w:rPr>
        <w:t>odnosi se na obavezno zdravstveno osiguranje.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>
        <w:rPr>
          <w:rFonts w:asciiTheme="minorHAnsi" w:hAnsiTheme="minorHAnsi" w:cstheme="minorHAnsi"/>
          <w:sz w:val="20"/>
          <w:szCs w:val="20"/>
        </w:rPr>
        <w:t>–realizirano je 52.935,95 kn,  u odnosu na s istim razdobljem 2021. godine rashodi su veći za 214%., a rashodi se odnose i na  naknade za  prijevoz na posao i s posla , naknade za službeni  put i stručno usavršavanje zaposlenika, tečajeve i stručne ispite (za 12 zaposlenih u odnosu na 6 zaposlenih u istom razdoblju prethodne godine).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>
        <w:rPr>
          <w:rFonts w:asciiTheme="minorHAnsi" w:hAnsiTheme="minorHAnsi" w:cstheme="minorHAnsi"/>
          <w:bCs/>
          <w:sz w:val="20"/>
          <w:szCs w:val="20"/>
        </w:rPr>
        <w:t>utrošeno je 574.377,69 kuna, u odnosno sa 2021. godinom to je za 162,7% više iz razloga povećanja cijena materijala (odnosi se na uredski materijal, energiju, sitni inventar, radnu odjeću i materijal za tekuće održavanje poslovnih prostorija, opreme i strojeva.)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>
        <w:rPr>
          <w:rFonts w:asciiTheme="minorHAnsi" w:hAnsiTheme="minorHAnsi" w:cstheme="minorHAnsi"/>
          <w:bCs/>
          <w:sz w:val="20"/>
          <w:szCs w:val="20"/>
        </w:rPr>
        <w:t>–realizirani su u iznosu 1.861.997,37  kn ili 22 % manje u usporedbi sa 2021. godinom. Odnosi se na usluge redovnog poslovanja te tekućeg održavanja nerazvrstanih cesta, zgrada te opreme i prijevoznih sredstava. (usprkos sveopćem poskupljenu, uz dobro planiranje, javnu nabavu i racionalnom trošenju može se uštedjeti)</w:t>
      </w: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t>324- Naknade troškova osobama izvan radnog odnosa</w:t>
      </w:r>
      <w:r>
        <w:rPr>
          <w:rFonts w:ascii="Arial Narrow" w:hAnsi="Arial Narrow" w:cs="Calibri"/>
          <w:bCs/>
          <w:sz w:val="20"/>
          <w:szCs w:val="20"/>
        </w:rPr>
        <w:t xml:space="preserve"> -  do 30.09. utrošeno je  ukupno 504 kn (</w:t>
      </w:r>
      <w:proofErr w:type="spellStart"/>
      <w:r>
        <w:rPr>
          <w:rFonts w:ascii="Arial Narrow" w:hAnsi="Arial Narrow" w:cs="Calibri"/>
          <w:bCs/>
          <w:sz w:val="20"/>
          <w:szCs w:val="20"/>
        </w:rPr>
        <w:t>loko</w:t>
      </w:r>
      <w:proofErr w:type="spellEnd"/>
      <w:r>
        <w:rPr>
          <w:rFonts w:ascii="Arial Narrow" w:hAnsi="Arial Narrow" w:cs="Calibri"/>
          <w:bCs/>
          <w:sz w:val="20"/>
          <w:szCs w:val="20"/>
        </w:rPr>
        <w:t xml:space="preserve"> vožnja</w:t>
      </w:r>
      <w:r>
        <w:rPr>
          <w:rFonts w:ascii="Arial Narrow" w:hAnsi="Arial Narrow" w:cs="Calibri"/>
          <w:bCs/>
          <w:sz w:val="22"/>
          <w:szCs w:val="22"/>
        </w:rPr>
        <w:t xml:space="preserve"> poljoprivrednog redara).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>
        <w:rPr>
          <w:rFonts w:asciiTheme="minorHAnsi" w:hAnsiTheme="minorHAnsi" w:cstheme="minorHAnsi"/>
          <w:bCs/>
          <w:sz w:val="20"/>
          <w:szCs w:val="20"/>
        </w:rPr>
        <w:t xml:space="preserve">u izvještajnom razdoblju je utrošeno 351.968,46 kn. 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 odnosu na proteklu godinu ovi rashodi veći su za 183,4%, a  odnose se na  premije osiguranja, na reprezentaciju,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te troškove manifestacija u iznosu od 89.861,20 – povećanje iz razloga što u 2021. godini nije  bilo organiziranih manifestacija  kao i na  Naknadu za korištenje odlagališta otpada koja nije planirana te je ujedno razlog povećanja plana (obveza naknade  krenula je od ove godine i iznosi za izvještajno razdoblje 83.300,41 kuna).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 izvršeno  je ukupno 39.228,68 kn, u odnosu na proteklu godinu ovi rashodi veći su za 187%, odnose se na  kamatu po financijskom leasingu za traktor i gospodarska vozila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te kamatu za otplatu po dugoročnom kreditu (razlog povećanja budući je kredit realiziran ove godine).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343-</w:t>
      </w:r>
      <w:r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>
        <w:rPr>
          <w:rFonts w:asciiTheme="minorHAnsi" w:hAnsiTheme="minorHAnsi" w:cstheme="minorHAnsi"/>
          <w:sz w:val="20"/>
          <w:szCs w:val="20"/>
        </w:rPr>
        <w:t xml:space="preserve"> –realizirano  je 94.557,05 kn. U usporedbi sa 2021. godinom  ova vrsta rashoda manja je za 15%. (odnose se na usluge banaka i  platnog prometa,  rashode za zatezne kamate te za troškove i kamate po odobrenom </w:t>
      </w:r>
      <w:proofErr w:type="spellStart"/>
      <w:r>
        <w:rPr>
          <w:rFonts w:asciiTheme="minorHAnsi" w:hAnsiTheme="minorHAnsi" w:cstheme="minorHAnsi"/>
          <w:sz w:val="20"/>
          <w:szCs w:val="20"/>
        </w:rPr>
        <w:t>pool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kreditu (</w:t>
      </w:r>
      <w:r>
        <w:rPr>
          <w:rFonts w:asciiTheme="minorHAnsi" w:hAnsiTheme="minorHAnsi" w:cstheme="minorHAnsi"/>
          <w:sz w:val="20"/>
          <w:szCs w:val="20"/>
        </w:rPr>
        <w:t>kratkoročnom kreditu Privredne banke po Ugovoru o dopuštenom prekoračenju</w:t>
      </w:r>
      <w:r>
        <w:rPr>
          <w:rFonts w:asciiTheme="minorHAnsi" w:hAnsiTheme="minorHAnsi" w:cstheme="minorHAnsi"/>
          <w:sz w:val="20"/>
          <w:szCs w:val="20"/>
        </w:rPr>
        <w:t xml:space="preserve"> za dozvoljeni minus po računu, a kamate ove godine nema jer je račun u plusu). 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352 – Subvencije</w:t>
      </w:r>
      <w:r>
        <w:rPr>
          <w:rFonts w:asciiTheme="minorHAnsi" w:hAnsiTheme="minorHAnsi" w:cstheme="minorHAnsi"/>
          <w:sz w:val="20"/>
          <w:szCs w:val="20"/>
        </w:rPr>
        <w:t xml:space="preserve"> –realizirano je 81.793,62 kn, u usporedbi sa prethodnom godinom realizacija je veća  za 17%.  U izvještajnom razdoblju isplaćene su subvencije poljoprivrednicima u iznosu 10.345,65 kn (odnose se na </w:t>
      </w:r>
      <w:proofErr w:type="spellStart"/>
      <w:r>
        <w:rPr>
          <w:rFonts w:asciiTheme="minorHAnsi" w:hAnsiTheme="minorHAnsi" w:cstheme="minorHAnsi"/>
          <w:sz w:val="20"/>
          <w:szCs w:val="20"/>
        </w:rPr>
        <w:t>osjemenjivanje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domaćih životinja) , subvencioniranje kamata za odobrene kredite malim i srednjim poduzetnicima u iznosu od 71.447,97 kuna.</w:t>
      </w:r>
    </w:p>
    <w:p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363-  Pomoći unutar općeg proračuna </w:t>
      </w:r>
      <w:r>
        <w:rPr>
          <w:rFonts w:ascii="Arial Narrow" w:hAnsi="Arial Narrow" w:cs="Calibri"/>
          <w:sz w:val="22"/>
          <w:szCs w:val="22"/>
        </w:rPr>
        <w:t xml:space="preserve">u izvještajnom razdoblju je realizirano 50.881,77  kn. </w:t>
      </w:r>
    </w:p>
    <w:p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Odnosi se na tekuću pomoć Općini Gornja Stubica (temeljem zajedničkog organiziranja obavljanja poslova poljoprivrednog redara,  za plaću, troškove prijevoza na posao i s posla te druga materijalna prava u iznosu od 13.878,26 kuna), tekuće pomoći Gradu Donja Stubica za Izradu plana širokopojasne infrastrukture pristupa internetu u iznosu od 31.003,51 kuna te tekuće donacije Županiji KZ za nabavu aplikacije za pripremu državne mature u iznosu od 5.000 kuna i sufinanciranje Programa prometne kulture za najmlađe u iznosu od 1.000 kuna.</w:t>
      </w:r>
    </w:p>
    <w:p>
      <w:pPr>
        <w:jc w:val="both"/>
        <w:rPr>
          <w:rFonts w:ascii="Arial Narrow" w:hAnsi="Arial Narrow" w:cs="Calibr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366-  Pomoći proračunskim korisnicima drugih proračuna -</w:t>
      </w:r>
      <w:r>
        <w:rPr>
          <w:rFonts w:asciiTheme="minorHAnsi" w:hAnsiTheme="minorHAnsi" w:cstheme="minorHAnsi"/>
          <w:sz w:val="20"/>
          <w:szCs w:val="20"/>
        </w:rPr>
        <w:t xml:space="preserve">   u izvještajnom razdoblju  realizirano je 447.768,24  kn, u usporedbi sa 2021. godinom u istom izvještajnom razdoblju, rashodi su povećani za 129,9%.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>
        <w:rPr>
          <w:rFonts w:asciiTheme="minorHAnsi" w:hAnsiTheme="minorHAnsi" w:cstheme="minorHAnsi"/>
          <w:sz w:val="20"/>
          <w:szCs w:val="20"/>
        </w:rPr>
        <w:t xml:space="preserve">u izvještajnom razdoblju  realizirano je 4.239.597,72 kuna, u usporedbi sa 2021. godinom u istom izvještajnom razdoblju, rashodi su veći za 178,8%.  </w:t>
      </w: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Odnosi se na isplate proračunskim korisnicima : </w:t>
      </w:r>
    </w:p>
    <w:p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Dječjem vrtiću Oroslavje u iznosu od 3.768.156,49 kuna od toga 1.672.713,16 za redovnu djelatnost i kamatu po kreditu , 595.443,33 kuna za otplatu zajmova te prijenos 1.500.000 kuna za rekonstrukciju vrtića (za plaćanje obveza iz 2021. godine – iz  sredstava kredita) </w:t>
      </w:r>
    </w:p>
    <w:p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Otvorenom učilištu Oroslavje u iznosu od 83.441,23 kuna za redovnu djelatnost i </w:t>
      </w:r>
    </w:p>
    <w:p>
      <w:pPr>
        <w:pStyle w:val="Odlomakpopisa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Gradskoj knjižnici Oroslavje u iznosu od 388.000,00 kuna za redovnu djelatnost.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>
        <w:rPr>
          <w:rFonts w:asciiTheme="minorHAnsi" w:hAnsiTheme="minorHAnsi" w:cstheme="minorHAnsi"/>
          <w:sz w:val="20"/>
          <w:szCs w:val="20"/>
        </w:rPr>
        <w:t>u izvještajnom razdoblju realizirano je  1.870.743,07 kn,  manje za 12,7% u odnosu na prošlu godinu, odnosi se: na troškove smještaja djece u privatnim vrtićima, na  stipendije i školarine,  na rashod za prijevoz učenika i studenata, na isplatu naknade za novorođenčad,  troškove logopeda, pogrebne troškove.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381 –Tekuće donacije –</w:t>
      </w:r>
      <w:r>
        <w:rPr>
          <w:rFonts w:asciiTheme="minorHAnsi" w:hAnsiTheme="minorHAnsi" w:cstheme="minorHAnsi"/>
          <w:sz w:val="20"/>
          <w:szCs w:val="20"/>
        </w:rPr>
        <w:t xml:space="preserve">isplaćeno je 1.595.968,89 kn. Usporedbom sa 2021. godinom isplaćeno je više donacija za 106,8% .  Isplate se odnose na donacije Sportskoj zajednici grada Oroslavja , Hrvatskom crvenom križu, Vatrogasnoj zajednici grada Oroslavja i Turističkoj zajednici grada Oroslavja, 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 donacija udrugama prema  odobrenim sredstvima po javnim  natječajima za predlaganje programa javnih potreba u kulturi , sportu, socijali i dr.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386–Kapitalne pomoći – </w:t>
      </w:r>
      <w:r>
        <w:rPr>
          <w:rFonts w:asciiTheme="minorHAnsi" w:hAnsiTheme="minorHAnsi" w:cstheme="minorHAnsi"/>
          <w:bCs/>
          <w:sz w:val="20"/>
          <w:szCs w:val="20"/>
        </w:rPr>
        <w:t>isplaćeno 9.021,25 kuna (radovi na kanalizaciji u vlasništvu Zagorskog vodova Zabok).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>
        <w:rPr>
          <w:rFonts w:asciiTheme="minorHAnsi" w:hAnsiTheme="minorHAnsi" w:cstheme="minorHAnsi"/>
          <w:bCs/>
          <w:sz w:val="20"/>
          <w:szCs w:val="20"/>
        </w:rPr>
        <w:t xml:space="preserve"> –realizirano je 1.652.288,04 kn. Usporedbom s proteklom godinom povećanje je u iznosu od 329,3%. Odnosi se na troškove izgradnje Biciklističke staze – trasa Zabok-Oroslavje (1.361.688,61 kuna), Zgrade za šport (23.650 kuna), Nogostupa (190.472,18 kuna) i Dječjeg igrališta (76.4777,25 kuna).</w:t>
      </w:r>
    </w:p>
    <w:p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422-  Postrojenja i oprema</w:t>
      </w:r>
      <w:r>
        <w:rPr>
          <w:rFonts w:asciiTheme="minorHAnsi" w:hAnsiTheme="minorHAnsi" w:cstheme="minorHAnsi"/>
          <w:sz w:val="20"/>
          <w:szCs w:val="20"/>
        </w:rPr>
        <w:t xml:space="preserve"> –utrošeno je 314.545 kn . U usporedbi sa 2021. godinom to je smanjenje za 78%. Odnosi se na uredsku opremu,  opremu po Projektu „U službi svih nas“, opremu i alat za održavanje zelenih površina , opremu za dječja igrališta te opremu za autobusno stajalište.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426- Nematerijalna proizvedena dugotrajna imovina</w:t>
      </w:r>
      <w:r>
        <w:rPr>
          <w:rFonts w:ascii="Arial Narrow" w:hAnsi="Arial Narrow" w:cs="Calibri"/>
          <w:sz w:val="22"/>
          <w:szCs w:val="22"/>
        </w:rPr>
        <w:t xml:space="preserve"> –realizirano je 108.556,25 kuna. U usporedbi sa 2021. godinom to je povećanje za 167,7%. Odnosi se na troškove izrade prostornog plana (79.875 kuna) te ulaganja u računalne programe u iznosu od 28.681,25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>
        <w:rPr>
          <w:rFonts w:asciiTheme="minorHAnsi" w:hAnsiTheme="minorHAnsi" w:cstheme="minorHAnsi"/>
          <w:sz w:val="20"/>
          <w:szCs w:val="20"/>
        </w:rPr>
        <w:t xml:space="preserve">utrošeno je 1.131.516,16 kuna  ili 50% manje u usporedbi sa 2021. godinom . Odnosi se na asfaltiranje cesta, dodatna ulaganja na javnoj rasvjeti , troškove dodatnih ulaganja na Društvenom domu </w:t>
      </w:r>
      <w:proofErr w:type="spellStart"/>
      <w:r>
        <w:rPr>
          <w:rFonts w:asciiTheme="minorHAnsi" w:hAnsiTheme="minorHAnsi" w:cstheme="minorHAnsi"/>
          <w:sz w:val="20"/>
          <w:szCs w:val="20"/>
        </w:rPr>
        <w:t>Andraševec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te na rekonstrukciju Društvenog doma u Mokricama po Projektu „U službi svih nas“ u iznosu od 804.563,06 kuna.</w:t>
      </w:r>
    </w:p>
    <w:p>
      <w:pPr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FINANCIJSKU IMOVINU I OTPLATU ZAJMOVA 5</w:t>
      </w:r>
    </w:p>
    <w:p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544-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>
        <w:rPr>
          <w:rFonts w:asciiTheme="minorHAnsi" w:hAnsiTheme="minorHAnsi" w:cstheme="minorHAnsi"/>
          <w:sz w:val="20"/>
          <w:szCs w:val="20"/>
        </w:rPr>
        <w:t xml:space="preserve"> u iznosu od 1.582.901,09  kuna odnosi se na: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  <w:t xml:space="preserve">1. otplate glavnice po financijskom leasingu za nabavu traktora i gospodarskog vozila u iznosu od 153.505,55 kuna, </w:t>
      </w:r>
    </w:p>
    <w:p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2. iznos od 1.429.395,54 kuna na povrat po kratkoročnom kreditu Privredne banke po Ugovoru o dopuštenom prekoračenju, koji je krajem 2021. godine bio iskazan na Prihodima grada.</w:t>
      </w:r>
    </w:p>
    <w:p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547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sz w:val="20"/>
          <w:szCs w:val="20"/>
        </w:rPr>
        <w:t>Otplate glavnice primljenih zajmova od drugih razina vlasti - u</w:t>
      </w:r>
      <w:r>
        <w:rPr>
          <w:rFonts w:asciiTheme="minorHAnsi" w:hAnsiTheme="minorHAnsi" w:cstheme="minorHAnsi"/>
          <w:sz w:val="20"/>
          <w:szCs w:val="20"/>
        </w:rPr>
        <w:t xml:space="preserve"> iznosu od 850.838,36  kuna odnosi se na:</w:t>
      </w:r>
    </w:p>
    <w:p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1. Povrat sredstava  beskamatnog zajma iz državnog proračuna  na ime povrata poreza na dohodak za 2020. godinu u iznosu od 76.179,96 kuna </w:t>
      </w:r>
    </w:p>
    <w:p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 Povrat sredstava   beskamatnog zajma iz državnog proračuna  na ime povrata poreza na dohodak za 2019. godinu u iznosu od 774.658,40  kuna </w:t>
      </w:r>
    </w:p>
    <w:p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II  Obrazac „OBVEZE“</w:t>
      </w:r>
    </w:p>
    <w:p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Stanje obveza na dan  01.01.2022. iznosilo je 4.751.808,74 kuna, a na dan 30.09.2022. godine iznosi  7.235.428,71 kuna,  što je povećanje u iznosu od 152%. 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Obveze su povećane iz razloga što se Grad Oroslavje zadužio po dugoročnom kreditu (planiran u 2021. godini, a realiziran 2022. godine) te za primljeni beskamatni zajam iz državnog proračuna na ime povrata poreza na dohodak za 2021. godinu u iznosu od 1.363.929,66 kuna. 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U izvještajnom razdoblju grad je podmirio  svoje obveze u iznosu od 12.833.217,15  kuna, ostalo je nepodmireno 305.843,95 kuna (spornih obveza) koje su </w:t>
      </w:r>
      <w:r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>
        <w:rPr>
          <w:rFonts w:asciiTheme="minorHAnsi" w:hAnsiTheme="minorHAnsi" w:cstheme="minorHAnsi"/>
          <w:sz w:val="20"/>
          <w:szCs w:val="20"/>
        </w:rPr>
        <w:t xml:space="preserve">, a iznos od 6.929.584,76 kuna odnosi se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nedospjele obveze: </w:t>
      </w:r>
      <w:r>
        <w:rPr>
          <w:rFonts w:asciiTheme="minorHAnsi" w:hAnsiTheme="minorHAnsi" w:cstheme="minorHAnsi"/>
          <w:sz w:val="20"/>
          <w:szCs w:val="20"/>
        </w:rPr>
        <w:t xml:space="preserve"> po kreditima (6.129.305,22 kuna) i  za redovno poslovanje ( 800.279,54 kuna) koje grad uredno izvršava.</w:t>
      </w: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sectPr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53AE4"/>
    <w:multiLevelType w:val="hybridMultilevel"/>
    <w:tmpl w:val="4A8C3012"/>
    <w:lvl w:ilvl="0" w:tplc="96C0B7D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44676B7"/>
    <w:multiLevelType w:val="hybridMultilevel"/>
    <w:tmpl w:val="2D94E8A4"/>
    <w:lvl w:ilvl="0" w:tplc="6292E058">
      <w:start w:val="36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3D1E"/>
    <w:multiLevelType w:val="hybridMultilevel"/>
    <w:tmpl w:val="35BE4686"/>
    <w:lvl w:ilvl="0" w:tplc="A3E03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87986">
    <w:abstractNumId w:val="5"/>
  </w:num>
  <w:num w:numId="2" w16cid:durableId="1709531123">
    <w:abstractNumId w:val="0"/>
  </w:num>
  <w:num w:numId="3" w16cid:durableId="830562945">
    <w:abstractNumId w:val="2"/>
  </w:num>
  <w:num w:numId="4" w16cid:durableId="469565774">
    <w:abstractNumId w:val="6"/>
  </w:num>
  <w:num w:numId="5" w16cid:durableId="1890871399">
    <w:abstractNumId w:val="1"/>
  </w:num>
  <w:num w:numId="6" w16cid:durableId="665860151">
    <w:abstractNumId w:val="3"/>
  </w:num>
  <w:num w:numId="7" w16cid:durableId="279991222">
    <w:abstractNumId w:val="4"/>
  </w:num>
  <w:num w:numId="8" w16cid:durableId="15709958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nhideWhenUsed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Uvuenotijeloteksta">
    <w:name w:val="Body Text Indent"/>
    <w:basedOn w:val="Normal"/>
    <w:link w:val="UvuenotijelotekstaChar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Pr>
      <w:sz w:val="24"/>
      <w:szCs w:val="24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Tijeloteksta3">
    <w:name w:val="Body Text 3"/>
    <w:basedOn w:val="Normal"/>
    <w:link w:val="Tijeloteksta3Char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Pr>
      <w:b/>
      <w:bCs/>
      <w:sz w:val="24"/>
      <w:szCs w:val="24"/>
    </w:r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both"/>
    </w:pPr>
  </w:style>
  <w:style w:type="character" w:customStyle="1" w:styleId="Tijeloteksta2Char">
    <w:name w:val="Tijelo teksta 2 Char"/>
    <w:basedOn w:val="Zadanifontodlomka"/>
    <w:link w:val="Tijeloteksta2"/>
    <w:rPr>
      <w:sz w:val="24"/>
      <w:szCs w:val="24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Pr>
      <w:b/>
      <w:bCs/>
    </w:rPr>
  </w:style>
  <w:style w:type="character" w:customStyle="1" w:styleId="Naslov2Char">
    <w:name w:val="Naslov 2 Char"/>
    <w:link w:val="Naslov2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d@oroslav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9</cp:revision>
  <cp:lastPrinted>2022-10-10T11:23:00Z</cp:lastPrinted>
  <dcterms:created xsi:type="dcterms:W3CDTF">2022-10-10T05:31:00Z</dcterms:created>
  <dcterms:modified xsi:type="dcterms:W3CDTF">2022-10-10T11:25:00Z</dcterms:modified>
</cp:coreProperties>
</file>